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229469798"/>
        <w:docPartObj>
          <w:docPartGallery w:val="autotext"/>
        </w:docPartObj>
      </w:sdtPr>
      <w:sdtEndPr>
        <w:rPr>
          <w:rFonts w:cs="Times New Roman"/>
          <w:szCs w:val="24"/>
        </w:rPr>
      </w:sdtEndPr>
      <w:sdtContent>
        <w:p>
          <w:pPr>
            <w:ind w:firstLine="480"/>
            <w:rPr>
              <w:rFonts w:hint="eastAsia" w:eastAsiaTheme="minorEastAsia"/>
              <w:lang w:eastAsia="zh-CN"/>
            </w:rPr>
            <w:sectPr>
              <w:pgSz w:w="11910" w:h="16840"/>
              <w:pgMar w:top="1100" w:right="1440" w:bottom="1180" w:left="1560" w:header="877" w:footer="999" w:gutter="0"/>
              <w:cols w:space="720" w:num="1"/>
            </w:sectPr>
          </w:pPr>
          <w:r>
            <w:rPr>
              <w:rFonts w:hint="eastAsia" w:eastAsiaTheme="minorEastAsia"/>
              <w:lang w:eastAsia="zh-CN"/>
            </w:rPr>
            <w:drawing>
              <wp:inline distT="0" distB="0" distL="114300" distR="114300">
                <wp:extent cx="5640705" cy="8147685"/>
                <wp:effectExtent l="0" t="0" r="17145" b="5715"/>
                <wp:docPr id="5" name="图片 5" descr="首页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首页_00"/>
                        <pic:cNvPicPr>
                          <a:picLocks noChangeAspect="1"/>
                        </pic:cNvPicPr>
                      </pic:nvPicPr>
                      <pic:blipFill>
                        <a:blip r:embed="rId13"/>
                        <a:stretch>
                          <a:fillRect/>
                        </a:stretch>
                      </pic:blipFill>
                      <pic:spPr>
                        <a:xfrm>
                          <a:off x="0" y="0"/>
                          <a:ext cx="5640705" cy="8147685"/>
                        </a:xfrm>
                        <a:prstGeom prst="rect">
                          <a:avLst/>
                        </a:prstGeom>
                      </pic:spPr>
                    </pic:pic>
                  </a:graphicData>
                </a:graphic>
              </wp:inline>
            </w:drawing>
          </w:r>
        </w:p>
        <w:p>
          <w:pPr>
            <w:widowControl/>
            <w:ind w:firstLine="480" w:firstLineChars="200"/>
            <w:jc w:val="center"/>
          </w:pPr>
          <w:bookmarkStart w:id="7" w:name="_GoBack"/>
          <w:bookmarkEnd w:id="7"/>
        </w:p>
      </w:sdtContent>
    </w:sdt>
    <w:sdt>
      <w:sdtPr>
        <w:rPr>
          <w:rFonts w:ascii="Times New Roman" w:hAnsi="Times New Roman" w:eastAsiaTheme="minorEastAsia" w:cstheme="minorBidi"/>
          <w:b/>
          <w:bCs/>
          <w:color w:val="auto"/>
          <w:kern w:val="2"/>
          <w:sz w:val="36"/>
          <w:szCs w:val="36"/>
          <w:lang w:val="zh-CN"/>
        </w:rPr>
        <w:id w:val="506341661"/>
        <w:docPartObj>
          <w:docPartGallery w:val="Table of Contents"/>
          <w:docPartUnique/>
        </w:docPartObj>
      </w:sdtPr>
      <w:sdtEndPr>
        <w:rPr>
          <w:rFonts w:ascii="Times New Roman" w:hAnsi="Times New Roman" w:eastAsiaTheme="minorEastAsia" w:cstheme="minorBidi"/>
          <w:b/>
          <w:bCs/>
          <w:color w:val="auto"/>
          <w:kern w:val="2"/>
          <w:sz w:val="24"/>
          <w:szCs w:val="22"/>
          <w:lang w:val="zh-CN"/>
        </w:rPr>
      </w:sdtEndPr>
      <w:sdtContent>
        <w:p>
          <w:pPr>
            <w:pStyle w:val="22"/>
            <w:ind w:firstLine="480"/>
            <w:jc w:val="center"/>
            <w:rPr>
              <w:b/>
              <w:bCs/>
              <w:sz w:val="36"/>
              <w:szCs w:val="36"/>
            </w:rPr>
          </w:pPr>
          <w:r>
            <w:rPr>
              <w:b/>
              <w:bCs/>
              <w:sz w:val="36"/>
              <w:szCs w:val="36"/>
              <w:lang w:val="zh-CN"/>
            </w:rPr>
            <w:t>目</w:t>
          </w:r>
          <w:r>
            <w:rPr>
              <w:rFonts w:hint="eastAsia"/>
              <w:b/>
              <w:bCs/>
              <w:sz w:val="36"/>
              <w:szCs w:val="36"/>
              <w:lang w:val="en-US" w:eastAsia="zh-CN"/>
            </w:rPr>
            <w:t xml:space="preserve"> </w:t>
          </w:r>
          <w:r>
            <w:rPr>
              <w:b/>
              <w:bCs/>
              <w:sz w:val="36"/>
              <w:szCs w:val="36"/>
              <w:lang w:val="zh-CN"/>
            </w:rPr>
            <w:t>录</w:t>
          </w:r>
        </w:p>
        <w:p>
          <w:pPr>
            <w:pStyle w:val="11"/>
            <w:tabs>
              <w:tab w:val="right" w:leader="dot" w:pos="8910"/>
            </w:tabs>
            <w:rPr>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sz w:val="28"/>
              <w:szCs w:val="28"/>
            </w:rPr>
            <w:instrText xml:space="preserve"> HYPERLINK \l _Toc8193 </w:instrText>
          </w:r>
          <w:r>
            <w:rPr>
              <w:sz w:val="28"/>
              <w:szCs w:val="28"/>
            </w:rPr>
            <w:fldChar w:fldCharType="separate"/>
          </w:r>
          <w:r>
            <w:rPr>
              <w:sz w:val="28"/>
              <w:szCs w:val="28"/>
            </w:rPr>
            <w:t>关于本报告</w:t>
          </w:r>
          <w:r>
            <w:rPr>
              <w:sz w:val="28"/>
              <w:szCs w:val="28"/>
            </w:rPr>
            <w:tab/>
          </w:r>
          <w:r>
            <w:rPr>
              <w:sz w:val="28"/>
              <w:szCs w:val="28"/>
            </w:rPr>
            <w:fldChar w:fldCharType="begin"/>
          </w:r>
          <w:r>
            <w:rPr>
              <w:sz w:val="28"/>
              <w:szCs w:val="28"/>
            </w:rPr>
            <w:instrText xml:space="preserve"> PAGEREF _Toc8193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1"/>
            <w:tabs>
              <w:tab w:val="right" w:leader="dot" w:pos="8910"/>
            </w:tabs>
            <w:rPr>
              <w:sz w:val="28"/>
              <w:szCs w:val="28"/>
            </w:rPr>
          </w:pPr>
          <w:r>
            <w:rPr>
              <w:bCs/>
              <w:sz w:val="28"/>
              <w:szCs w:val="28"/>
              <w:lang w:val="zh-CN"/>
            </w:rPr>
            <w:fldChar w:fldCharType="begin"/>
          </w:r>
          <w:r>
            <w:rPr>
              <w:bCs/>
              <w:sz w:val="28"/>
              <w:szCs w:val="28"/>
              <w:lang w:val="zh-CN"/>
            </w:rPr>
            <w:instrText xml:space="preserve"> HYPERLINK \l _Toc4136 </w:instrText>
          </w:r>
          <w:r>
            <w:rPr>
              <w:bCs/>
              <w:sz w:val="28"/>
              <w:szCs w:val="28"/>
              <w:lang w:val="zh-CN"/>
            </w:rPr>
            <w:fldChar w:fldCharType="separate"/>
          </w:r>
          <w:r>
            <w:rPr>
              <w:rFonts w:hint="eastAsia"/>
              <w:sz w:val="28"/>
              <w:szCs w:val="28"/>
            </w:rPr>
            <w:t xml:space="preserve">第一章 </w:t>
          </w:r>
          <w:r>
            <w:rPr>
              <w:sz w:val="28"/>
              <w:szCs w:val="28"/>
            </w:rPr>
            <w:t>公司基本情况</w:t>
          </w:r>
          <w:r>
            <w:rPr>
              <w:sz w:val="28"/>
              <w:szCs w:val="28"/>
            </w:rPr>
            <w:tab/>
          </w:r>
          <w:r>
            <w:rPr>
              <w:sz w:val="28"/>
              <w:szCs w:val="28"/>
            </w:rPr>
            <w:fldChar w:fldCharType="begin"/>
          </w:r>
          <w:r>
            <w:rPr>
              <w:sz w:val="28"/>
              <w:szCs w:val="28"/>
            </w:rPr>
            <w:instrText xml:space="preserve"> PAGEREF _Toc4136 \h </w:instrText>
          </w:r>
          <w:r>
            <w:rPr>
              <w:sz w:val="28"/>
              <w:szCs w:val="28"/>
            </w:rPr>
            <w:fldChar w:fldCharType="separate"/>
          </w:r>
          <w:r>
            <w:rPr>
              <w:sz w:val="28"/>
              <w:szCs w:val="28"/>
            </w:rPr>
            <w:t>2</w:t>
          </w:r>
          <w:r>
            <w:rPr>
              <w:sz w:val="28"/>
              <w:szCs w:val="28"/>
            </w:rPr>
            <w:fldChar w:fldCharType="end"/>
          </w:r>
          <w:r>
            <w:rPr>
              <w:bCs/>
              <w:sz w:val="28"/>
              <w:szCs w:val="28"/>
              <w:lang w:val="zh-CN"/>
            </w:rPr>
            <w:fldChar w:fldCharType="end"/>
          </w:r>
        </w:p>
        <w:p>
          <w:pPr>
            <w:pStyle w:val="11"/>
            <w:tabs>
              <w:tab w:val="right" w:leader="dot" w:pos="8910"/>
            </w:tabs>
            <w:rPr>
              <w:sz w:val="28"/>
              <w:szCs w:val="28"/>
            </w:rPr>
          </w:pPr>
          <w:r>
            <w:rPr>
              <w:bCs/>
              <w:sz w:val="28"/>
              <w:szCs w:val="28"/>
              <w:lang w:val="zh-CN"/>
            </w:rPr>
            <w:fldChar w:fldCharType="begin"/>
          </w:r>
          <w:r>
            <w:rPr>
              <w:bCs/>
              <w:sz w:val="28"/>
              <w:szCs w:val="28"/>
              <w:lang w:val="zh-CN"/>
            </w:rPr>
            <w:instrText xml:space="preserve"> HYPERLINK \l _Toc25241 </w:instrText>
          </w:r>
          <w:r>
            <w:rPr>
              <w:bCs/>
              <w:sz w:val="28"/>
              <w:szCs w:val="28"/>
              <w:lang w:val="zh-CN"/>
            </w:rPr>
            <w:fldChar w:fldCharType="separate"/>
          </w:r>
          <w:r>
            <w:rPr>
              <w:rFonts w:hint="eastAsia"/>
              <w:sz w:val="28"/>
              <w:szCs w:val="28"/>
            </w:rPr>
            <w:t xml:space="preserve">第二章 </w:t>
          </w:r>
          <w:r>
            <w:rPr>
              <w:sz w:val="28"/>
              <w:szCs w:val="28"/>
            </w:rPr>
            <w:t>员工权益和健康安全保障</w:t>
          </w:r>
          <w:r>
            <w:rPr>
              <w:sz w:val="28"/>
              <w:szCs w:val="28"/>
            </w:rPr>
            <w:tab/>
          </w:r>
          <w:r>
            <w:rPr>
              <w:sz w:val="28"/>
              <w:szCs w:val="28"/>
            </w:rPr>
            <w:fldChar w:fldCharType="begin"/>
          </w:r>
          <w:r>
            <w:rPr>
              <w:sz w:val="28"/>
              <w:szCs w:val="28"/>
            </w:rPr>
            <w:instrText xml:space="preserve"> PAGEREF _Toc25241 \h </w:instrText>
          </w:r>
          <w:r>
            <w:rPr>
              <w:sz w:val="28"/>
              <w:szCs w:val="28"/>
            </w:rPr>
            <w:fldChar w:fldCharType="separate"/>
          </w:r>
          <w:r>
            <w:rPr>
              <w:sz w:val="28"/>
              <w:szCs w:val="28"/>
            </w:rPr>
            <w:t>3</w:t>
          </w:r>
          <w:r>
            <w:rPr>
              <w:sz w:val="28"/>
              <w:szCs w:val="28"/>
            </w:rPr>
            <w:fldChar w:fldCharType="end"/>
          </w:r>
          <w:r>
            <w:rPr>
              <w:bCs/>
              <w:sz w:val="28"/>
              <w:szCs w:val="28"/>
              <w:lang w:val="zh-CN"/>
            </w:rPr>
            <w:fldChar w:fldCharType="end"/>
          </w:r>
        </w:p>
        <w:p>
          <w:pPr>
            <w:pStyle w:val="11"/>
            <w:tabs>
              <w:tab w:val="right" w:leader="dot" w:pos="8910"/>
            </w:tabs>
            <w:rPr>
              <w:sz w:val="28"/>
              <w:szCs w:val="28"/>
            </w:rPr>
          </w:pPr>
          <w:r>
            <w:rPr>
              <w:bCs/>
              <w:sz w:val="28"/>
              <w:szCs w:val="28"/>
              <w:lang w:val="zh-CN"/>
            </w:rPr>
            <w:fldChar w:fldCharType="begin"/>
          </w:r>
          <w:r>
            <w:rPr>
              <w:bCs/>
              <w:sz w:val="28"/>
              <w:szCs w:val="28"/>
              <w:lang w:val="zh-CN"/>
            </w:rPr>
            <w:instrText xml:space="preserve"> HYPERLINK \l _Toc6790 </w:instrText>
          </w:r>
          <w:r>
            <w:rPr>
              <w:bCs/>
              <w:sz w:val="28"/>
              <w:szCs w:val="28"/>
              <w:lang w:val="zh-CN"/>
            </w:rPr>
            <w:fldChar w:fldCharType="separate"/>
          </w:r>
          <w:r>
            <w:rPr>
              <w:rFonts w:hint="eastAsia"/>
              <w:sz w:val="28"/>
              <w:szCs w:val="28"/>
            </w:rPr>
            <w:t xml:space="preserve">第三章 </w:t>
          </w:r>
          <w:r>
            <w:rPr>
              <w:sz w:val="28"/>
              <w:szCs w:val="28"/>
            </w:rPr>
            <w:t>供</w:t>
          </w:r>
          <w:r>
            <w:rPr>
              <w:rFonts w:hint="eastAsia"/>
              <w:sz w:val="28"/>
              <w:szCs w:val="28"/>
              <w:lang w:eastAsia="zh-CN"/>
            </w:rPr>
            <w:t>方</w:t>
          </w:r>
          <w:r>
            <w:rPr>
              <w:sz w:val="28"/>
              <w:szCs w:val="28"/>
            </w:rPr>
            <w:t>管理与合作发展</w:t>
          </w:r>
          <w:r>
            <w:rPr>
              <w:sz w:val="28"/>
              <w:szCs w:val="28"/>
            </w:rPr>
            <w:tab/>
          </w:r>
          <w:r>
            <w:rPr>
              <w:sz w:val="28"/>
              <w:szCs w:val="28"/>
            </w:rPr>
            <w:fldChar w:fldCharType="begin"/>
          </w:r>
          <w:r>
            <w:rPr>
              <w:sz w:val="28"/>
              <w:szCs w:val="28"/>
            </w:rPr>
            <w:instrText xml:space="preserve"> PAGEREF _Toc6790 \h </w:instrText>
          </w:r>
          <w:r>
            <w:rPr>
              <w:sz w:val="28"/>
              <w:szCs w:val="28"/>
            </w:rPr>
            <w:fldChar w:fldCharType="separate"/>
          </w:r>
          <w:r>
            <w:rPr>
              <w:sz w:val="28"/>
              <w:szCs w:val="28"/>
            </w:rPr>
            <w:t>5</w:t>
          </w:r>
          <w:r>
            <w:rPr>
              <w:sz w:val="28"/>
              <w:szCs w:val="28"/>
            </w:rPr>
            <w:fldChar w:fldCharType="end"/>
          </w:r>
          <w:r>
            <w:rPr>
              <w:bCs/>
              <w:sz w:val="28"/>
              <w:szCs w:val="28"/>
              <w:lang w:val="zh-CN"/>
            </w:rPr>
            <w:fldChar w:fldCharType="end"/>
          </w:r>
        </w:p>
        <w:p>
          <w:pPr>
            <w:pStyle w:val="11"/>
            <w:tabs>
              <w:tab w:val="right" w:leader="dot" w:pos="8910"/>
            </w:tabs>
            <w:rPr>
              <w:sz w:val="28"/>
              <w:szCs w:val="28"/>
            </w:rPr>
          </w:pPr>
          <w:r>
            <w:rPr>
              <w:bCs/>
              <w:sz w:val="28"/>
              <w:szCs w:val="28"/>
              <w:lang w:val="zh-CN"/>
            </w:rPr>
            <w:fldChar w:fldCharType="begin"/>
          </w:r>
          <w:r>
            <w:rPr>
              <w:bCs/>
              <w:sz w:val="28"/>
              <w:szCs w:val="28"/>
              <w:lang w:val="zh-CN"/>
            </w:rPr>
            <w:instrText xml:space="preserve"> HYPERLINK \l _Toc23856 </w:instrText>
          </w:r>
          <w:r>
            <w:rPr>
              <w:bCs/>
              <w:sz w:val="28"/>
              <w:szCs w:val="28"/>
              <w:lang w:val="zh-CN"/>
            </w:rPr>
            <w:fldChar w:fldCharType="separate"/>
          </w:r>
          <w:r>
            <w:rPr>
              <w:rFonts w:hint="eastAsia"/>
              <w:sz w:val="28"/>
              <w:szCs w:val="28"/>
            </w:rPr>
            <w:t xml:space="preserve">第四章 </w:t>
          </w:r>
          <w:r>
            <w:rPr>
              <w:sz w:val="28"/>
              <w:szCs w:val="28"/>
            </w:rPr>
            <w:t>客户权益维护及产品质量控制</w:t>
          </w:r>
          <w:r>
            <w:rPr>
              <w:sz w:val="28"/>
              <w:szCs w:val="28"/>
            </w:rPr>
            <w:tab/>
          </w:r>
          <w:r>
            <w:rPr>
              <w:sz w:val="28"/>
              <w:szCs w:val="28"/>
            </w:rPr>
            <w:fldChar w:fldCharType="begin"/>
          </w:r>
          <w:r>
            <w:rPr>
              <w:sz w:val="28"/>
              <w:szCs w:val="28"/>
            </w:rPr>
            <w:instrText xml:space="preserve"> PAGEREF _Toc23856 \h </w:instrText>
          </w:r>
          <w:r>
            <w:rPr>
              <w:sz w:val="28"/>
              <w:szCs w:val="28"/>
            </w:rPr>
            <w:fldChar w:fldCharType="separate"/>
          </w:r>
          <w:r>
            <w:rPr>
              <w:sz w:val="28"/>
              <w:szCs w:val="28"/>
            </w:rPr>
            <w:t>5</w:t>
          </w:r>
          <w:r>
            <w:rPr>
              <w:sz w:val="28"/>
              <w:szCs w:val="28"/>
            </w:rPr>
            <w:fldChar w:fldCharType="end"/>
          </w:r>
          <w:r>
            <w:rPr>
              <w:bCs/>
              <w:sz w:val="28"/>
              <w:szCs w:val="28"/>
              <w:lang w:val="zh-CN"/>
            </w:rPr>
            <w:fldChar w:fldCharType="end"/>
          </w:r>
        </w:p>
        <w:p>
          <w:pPr>
            <w:pStyle w:val="11"/>
            <w:tabs>
              <w:tab w:val="right" w:leader="dot" w:pos="8910"/>
            </w:tabs>
            <w:rPr>
              <w:sz w:val="28"/>
              <w:szCs w:val="28"/>
            </w:rPr>
          </w:pPr>
          <w:r>
            <w:rPr>
              <w:bCs/>
              <w:sz w:val="28"/>
              <w:szCs w:val="28"/>
              <w:lang w:val="zh-CN"/>
            </w:rPr>
            <w:fldChar w:fldCharType="begin"/>
          </w:r>
          <w:r>
            <w:rPr>
              <w:bCs/>
              <w:sz w:val="28"/>
              <w:szCs w:val="28"/>
              <w:lang w:val="zh-CN"/>
            </w:rPr>
            <w:instrText xml:space="preserve"> HYPERLINK \l _Toc11603 </w:instrText>
          </w:r>
          <w:r>
            <w:rPr>
              <w:bCs/>
              <w:sz w:val="28"/>
              <w:szCs w:val="28"/>
              <w:lang w:val="zh-CN"/>
            </w:rPr>
            <w:fldChar w:fldCharType="separate"/>
          </w:r>
          <w:r>
            <w:rPr>
              <w:rFonts w:hint="eastAsia"/>
              <w:sz w:val="28"/>
              <w:szCs w:val="28"/>
            </w:rPr>
            <w:t xml:space="preserve">第五章 </w:t>
          </w:r>
          <w:r>
            <w:rPr>
              <w:sz w:val="28"/>
              <w:szCs w:val="28"/>
            </w:rPr>
            <w:t>环境保护和可持续发展</w:t>
          </w:r>
          <w:r>
            <w:rPr>
              <w:sz w:val="28"/>
              <w:szCs w:val="28"/>
            </w:rPr>
            <w:tab/>
          </w:r>
          <w:r>
            <w:rPr>
              <w:sz w:val="28"/>
              <w:szCs w:val="28"/>
            </w:rPr>
            <w:fldChar w:fldCharType="begin"/>
          </w:r>
          <w:r>
            <w:rPr>
              <w:sz w:val="28"/>
              <w:szCs w:val="28"/>
            </w:rPr>
            <w:instrText xml:space="preserve"> PAGEREF _Toc11603 \h </w:instrText>
          </w:r>
          <w:r>
            <w:rPr>
              <w:sz w:val="28"/>
              <w:szCs w:val="28"/>
            </w:rPr>
            <w:fldChar w:fldCharType="separate"/>
          </w:r>
          <w:r>
            <w:rPr>
              <w:sz w:val="28"/>
              <w:szCs w:val="28"/>
            </w:rPr>
            <w:t>6</w:t>
          </w:r>
          <w:r>
            <w:rPr>
              <w:sz w:val="28"/>
              <w:szCs w:val="28"/>
            </w:rPr>
            <w:fldChar w:fldCharType="end"/>
          </w:r>
          <w:r>
            <w:rPr>
              <w:bCs/>
              <w:sz w:val="28"/>
              <w:szCs w:val="28"/>
              <w:lang w:val="zh-CN"/>
            </w:rPr>
            <w:fldChar w:fldCharType="end"/>
          </w:r>
        </w:p>
        <w:p>
          <w:pPr>
            <w:pStyle w:val="11"/>
            <w:tabs>
              <w:tab w:val="right" w:leader="dot" w:pos="8910"/>
            </w:tabs>
            <w:rPr>
              <w:sz w:val="28"/>
              <w:szCs w:val="28"/>
            </w:rPr>
          </w:pPr>
          <w:r>
            <w:rPr>
              <w:bCs/>
              <w:sz w:val="28"/>
              <w:szCs w:val="28"/>
              <w:lang w:val="zh-CN"/>
            </w:rPr>
            <w:fldChar w:fldCharType="begin"/>
          </w:r>
          <w:r>
            <w:rPr>
              <w:bCs/>
              <w:sz w:val="28"/>
              <w:szCs w:val="28"/>
              <w:lang w:val="zh-CN"/>
            </w:rPr>
            <w:instrText xml:space="preserve"> HYPERLINK \l _Toc11825 </w:instrText>
          </w:r>
          <w:r>
            <w:rPr>
              <w:bCs/>
              <w:sz w:val="28"/>
              <w:szCs w:val="28"/>
              <w:lang w:val="zh-CN"/>
            </w:rPr>
            <w:fldChar w:fldCharType="separate"/>
          </w:r>
          <w:r>
            <w:rPr>
              <w:rFonts w:hint="eastAsia"/>
              <w:sz w:val="28"/>
              <w:szCs w:val="28"/>
            </w:rPr>
            <w:t xml:space="preserve">第六章 </w:t>
          </w:r>
          <w:r>
            <w:rPr>
              <w:rFonts w:hint="eastAsia"/>
              <w:sz w:val="28"/>
              <w:szCs w:val="28"/>
              <w:lang w:eastAsia="zh-CN"/>
            </w:rPr>
            <w:t>企业所获荣誉（节选）</w:t>
          </w:r>
          <w:r>
            <w:rPr>
              <w:sz w:val="28"/>
              <w:szCs w:val="28"/>
            </w:rPr>
            <w:tab/>
          </w:r>
          <w:r>
            <w:rPr>
              <w:sz w:val="28"/>
              <w:szCs w:val="28"/>
            </w:rPr>
            <w:fldChar w:fldCharType="begin"/>
          </w:r>
          <w:r>
            <w:rPr>
              <w:sz w:val="28"/>
              <w:szCs w:val="28"/>
            </w:rPr>
            <w:instrText xml:space="preserve"> PAGEREF _Toc11825 \h </w:instrText>
          </w:r>
          <w:r>
            <w:rPr>
              <w:sz w:val="28"/>
              <w:szCs w:val="28"/>
            </w:rPr>
            <w:fldChar w:fldCharType="separate"/>
          </w:r>
          <w:r>
            <w:rPr>
              <w:sz w:val="28"/>
              <w:szCs w:val="28"/>
            </w:rPr>
            <w:t>8</w:t>
          </w:r>
          <w:r>
            <w:rPr>
              <w:sz w:val="28"/>
              <w:szCs w:val="28"/>
            </w:rPr>
            <w:fldChar w:fldCharType="end"/>
          </w:r>
          <w:r>
            <w:rPr>
              <w:bCs/>
              <w:sz w:val="28"/>
              <w:szCs w:val="28"/>
              <w:lang w:val="zh-CN"/>
            </w:rPr>
            <w:fldChar w:fldCharType="end"/>
          </w:r>
        </w:p>
        <w:p>
          <w:pPr>
            <w:ind w:firstLine="482"/>
          </w:pPr>
          <w:r>
            <w:rPr>
              <w:bCs/>
              <w:sz w:val="28"/>
              <w:szCs w:val="28"/>
              <w:lang w:val="zh-CN"/>
            </w:rPr>
            <w:fldChar w:fldCharType="end"/>
          </w:r>
        </w:p>
      </w:sdtContent>
    </w:sdt>
    <w:p>
      <w:pPr>
        <w:ind w:firstLine="480"/>
      </w:pPr>
    </w:p>
    <w:p>
      <w:pPr>
        <w:pStyle w:val="3"/>
        <w:spacing w:before="0" w:after="0" w:line="360" w:lineRule="auto"/>
        <w:ind w:firstLine="0" w:firstLineChars="0"/>
        <w:rPr>
          <w:sz w:val="28"/>
          <w:szCs w:val="28"/>
        </w:rPr>
        <w:sectPr>
          <w:pgSz w:w="11910" w:h="16840"/>
          <w:pgMar w:top="1100" w:right="1440" w:bottom="1180" w:left="1560" w:header="877" w:footer="999" w:gutter="0"/>
          <w:cols w:space="720" w:num="1"/>
        </w:sectPr>
      </w:pPr>
    </w:p>
    <w:p>
      <w:pPr>
        <w:pStyle w:val="3"/>
        <w:spacing w:before="0" w:after="0" w:line="360" w:lineRule="auto"/>
        <w:ind w:firstLine="0" w:firstLineChars="0"/>
        <w:rPr>
          <w:sz w:val="28"/>
          <w:szCs w:val="28"/>
        </w:rPr>
      </w:pPr>
      <w:bookmarkStart w:id="0" w:name="_Toc8193"/>
      <w:r>
        <w:rPr>
          <w:sz w:val="28"/>
          <w:szCs w:val="28"/>
        </w:rPr>
        <w:t>关于本报告</w:t>
      </w:r>
      <w:bookmarkEnd w:id="0"/>
    </w:p>
    <w:p>
      <w:pPr>
        <w:ind w:firstLine="480"/>
      </w:pPr>
      <w:r>
        <w:rPr>
          <w:rFonts w:hint="eastAsia"/>
        </w:rPr>
        <w:t>《</w:t>
      </w:r>
      <w:r>
        <w:rPr>
          <w:rFonts w:hint="eastAsia"/>
          <w:lang w:eastAsia="zh-CN"/>
        </w:rPr>
        <w:t>锦湖轮胎（天津）有限公司</w:t>
      </w:r>
      <w:r>
        <w:rPr>
          <w:rFonts w:hint="eastAsia"/>
          <w:lang w:val="en-US" w:eastAsia="zh-CN"/>
        </w:rPr>
        <w:t>2020</w:t>
      </w:r>
      <w:r>
        <w:rPr>
          <w:rFonts w:hint="eastAsia"/>
        </w:rPr>
        <w:t>年度社会责任报告》是</w:t>
      </w:r>
      <w:r>
        <w:rPr>
          <w:rFonts w:hint="eastAsia"/>
          <w:lang w:eastAsia="zh-CN"/>
        </w:rPr>
        <w:t>锦湖轮胎（天津）有限公司</w:t>
      </w:r>
      <w:r>
        <w:rPr>
          <w:rFonts w:hint="eastAsia"/>
        </w:rPr>
        <w:t>第1次对外发布的社会责任报告。</w:t>
      </w:r>
    </w:p>
    <w:p>
      <w:pPr>
        <w:ind w:firstLine="482"/>
        <w:rPr>
          <w:b/>
        </w:rPr>
      </w:pPr>
      <w:r>
        <w:rPr>
          <w:b/>
        </w:rPr>
        <w:t>时间范围</w:t>
      </w:r>
    </w:p>
    <w:p>
      <w:pPr>
        <w:ind w:firstLine="480"/>
      </w:pPr>
      <w:r>
        <w:rPr>
          <w:rFonts w:hint="eastAsia"/>
        </w:rPr>
        <w:t>报告覆盖时间周期为20</w:t>
      </w:r>
      <w:r>
        <w:rPr>
          <w:rFonts w:hint="eastAsia"/>
          <w:lang w:val="en-US" w:eastAsia="zh-CN"/>
        </w:rPr>
        <w:t>20</w:t>
      </w:r>
      <w:r>
        <w:rPr>
          <w:rFonts w:hint="eastAsia"/>
        </w:rPr>
        <w:t>年1月1日-</w:t>
      </w:r>
      <w:r>
        <w:t>20</w:t>
      </w:r>
      <w:r>
        <w:rPr>
          <w:rFonts w:hint="eastAsia"/>
          <w:lang w:val="en-US" w:eastAsia="zh-CN"/>
        </w:rPr>
        <w:t>20</w:t>
      </w:r>
      <w:r>
        <w:t>年</w:t>
      </w:r>
      <w:r>
        <w:rPr>
          <w:rFonts w:hint="eastAsia"/>
        </w:rPr>
        <w:t>12月31日，并包含部分历史信息</w:t>
      </w:r>
      <w:r>
        <w:rPr>
          <w:rFonts w:hint="eastAsia"/>
          <w:lang w:eastAsia="zh-CN"/>
        </w:rPr>
        <w:t>和更新信息</w:t>
      </w:r>
      <w:r>
        <w:rPr>
          <w:rFonts w:hint="eastAsia"/>
        </w:rPr>
        <w:t>。</w:t>
      </w:r>
    </w:p>
    <w:p>
      <w:pPr>
        <w:ind w:firstLine="482"/>
        <w:rPr>
          <w:b/>
        </w:rPr>
      </w:pPr>
      <w:r>
        <w:rPr>
          <w:b/>
        </w:rPr>
        <w:t>指代说明</w:t>
      </w:r>
    </w:p>
    <w:p>
      <w:pPr>
        <w:ind w:firstLine="480"/>
      </w:pPr>
      <w:r>
        <w:rPr>
          <w:rFonts w:hint="eastAsia"/>
        </w:rPr>
        <w:t>为了便于阅读，报告中“</w:t>
      </w:r>
      <w:r>
        <w:rPr>
          <w:rFonts w:hint="eastAsia"/>
          <w:lang w:eastAsia="zh-CN"/>
        </w:rPr>
        <w:t>锦湖轮胎（天津）有限公司</w:t>
      </w:r>
      <w:r>
        <w:rPr>
          <w:rFonts w:hint="eastAsia"/>
        </w:rPr>
        <w:t>”也以“</w:t>
      </w:r>
      <w:r>
        <w:rPr>
          <w:rFonts w:hint="eastAsia"/>
          <w:lang w:val="en-US" w:eastAsia="zh-CN"/>
        </w:rPr>
        <w:t>锦湖轮胎（天津）公司</w:t>
      </w:r>
      <w:r>
        <w:rPr>
          <w:rFonts w:hint="eastAsia"/>
        </w:rPr>
        <w:t>”、“本公司”或“我们”表示。</w:t>
      </w:r>
    </w:p>
    <w:p>
      <w:pPr>
        <w:ind w:firstLine="482"/>
        <w:rPr>
          <w:b/>
        </w:rPr>
      </w:pPr>
      <w:r>
        <w:rPr>
          <w:b/>
        </w:rPr>
        <w:t>报告范围</w:t>
      </w:r>
    </w:p>
    <w:p>
      <w:pPr>
        <w:ind w:firstLine="480"/>
      </w:pPr>
      <w:r>
        <w:rPr>
          <w:rFonts w:hint="eastAsia"/>
        </w:rPr>
        <w:t>除特别说明，本报告范围仅包括</w:t>
      </w:r>
      <w:r>
        <w:rPr>
          <w:rFonts w:hint="eastAsia"/>
          <w:lang w:eastAsia="zh-CN"/>
        </w:rPr>
        <w:t>锦湖轮胎（天津）有限公司</w:t>
      </w:r>
      <w:r>
        <w:rPr>
          <w:rFonts w:hint="eastAsia"/>
        </w:rPr>
        <w:t>。</w:t>
      </w:r>
    </w:p>
    <w:p>
      <w:pPr>
        <w:ind w:firstLine="482"/>
        <w:rPr>
          <w:b/>
        </w:rPr>
      </w:pPr>
      <w:r>
        <w:rPr>
          <w:rFonts w:hint="eastAsia"/>
          <w:b/>
        </w:rPr>
        <w:t>报告内容</w:t>
      </w:r>
    </w:p>
    <w:p>
      <w:pPr>
        <w:ind w:firstLine="480"/>
      </w:pPr>
      <w:r>
        <w:rPr>
          <w:rFonts w:hint="eastAsia"/>
        </w:rPr>
        <w:t>本报告真实、客观地反应了</w:t>
      </w:r>
      <w:r>
        <w:rPr>
          <w:rFonts w:hint="eastAsia"/>
          <w:lang w:eastAsia="zh-CN"/>
        </w:rPr>
        <w:t>锦湖轮胎（天津）有限公司</w:t>
      </w:r>
      <w:r>
        <w:rPr>
          <w:rFonts w:hint="eastAsia"/>
          <w:lang w:val="en-US" w:eastAsia="zh-CN"/>
        </w:rPr>
        <w:t>2020</w:t>
      </w:r>
      <w:r>
        <w:rPr>
          <w:rFonts w:hint="eastAsia"/>
        </w:rPr>
        <w:t>年度在日常经营管理活动中，履行社会责任方面的重要内容。本公司在大力发展循环经济，创造经济效益的同时，主动承担社会责任，遵守法律法规，恪守商业道德，保护员工的合法权益，提供安全舒适的工作环境，诚信对待供应商和客户，不断降低能源消耗与污染物排放，积极从事公益事业，并接受政府和公众的监督。致力于实现</w:t>
      </w:r>
      <w:r>
        <w:rPr>
          <w:rFonts w:hint="eastAsia"/>
          <w:lang w:eastAsia="zh-CN"/>
        </w:rPr>
        <w:t>锦湖轮胎（天津）有限公司</w:t>
      </w:r>
      <w:r>
        <w:rPr>
          <w:rFonts w:hint="eastAsia"/>
        </w:rPr>
        <w:t>与全社会的和谐发展。</w:t>
      </w:r>
    </w:p>
    <w:p>
      <w:pPr>
        <w:ind w:firstLine="482"/>
        <w:rPr>
          <w:b/>
        </w:rPr>
      </w:pPr>
      <w:r>
        <w:rPr>
          <w:b/>
        </w:rPr>
        <w:t>编制依据</w:t>
      </w:r>
    </w:p>
    <w:p>
      <w:pPr>
        <w:ind w:firstLine="480"/>
      </w:pPr>
      <w:r>
        <w:rPr>
          <w:rFonts w:hint="eastAsia"/>
        </w:rPr>
        <w:t>本报告依据《社会责任指南》（GB/T 36000-</w:t>
      </w:r>
      <w:r>
        <w:t>2015</w:t>
      </w:r>
      <w:r>
        <w:rPr>
          <w:rFonts w:hint="eastAsia"/>
        </w:rPr>
        <w:t>）、《社会责任报告编制指南》（GB/T 36001-</w:t>
      </w:r>
      <w:r>
        <w:t>2015</w:t>
      </w:r>
      <w:r>
        <w:rPr>
          <w:rFonts w:hint="eastAsia"/>
        </w:rPr>
        <w:t>），并参考SA 8000以及国际标准化组织发布的《社会责任指南 》（ISO</w:t>
      </w:r>
      <w:r>
        <w:t xml:space="preserve"> 26000）进行</w:t>
      </w:r>
      <w:r>
        <w:rPr>
          <w:rFonts w:hint="eastAsia"/>
        </w:rPr>
        <w:t>编制。</w:t>
      </w:r>
    </w:p>
    <w:p>
      <w:pPr>
        <w:ind w:firstLine="482"/>
        <w:rPr>
          <w:b/>
        </w:rPr>
      </w:pPr>
      <w:r>
        <w:rPr>
          <w:b/>
        </w:rPr>
        <w:t>数据来源与可靠性保证</w:t>
      </w:r>
    </w:p>
    <w:p>
      <w:pPr>
        <w:ind w:firstLine="480"/>
        <w:rPr>
          <w:rFonts w:hint="eastAsia" w:eastAsiaTheme="minorEastAsia"/>
          <w:lang w:eastAsia="zh-CN"/>
        </w:rPr>
        <w:sectPr>
          <w:footerReference r:id="rId5" w:type="default"/>
          <w:pgSz w:w="11910" w:h="16840"/>
          <w:pgMar w:top="1100" w:right="1440" w:bottom="1180" w:left="1560" w:header="877" w:footer="999" w:gutter="0"/>
          <w:pgNumType w:fmt="decimal" w:start="1"/>
          <w:cols w:space="720" w:num="1"/>
        </w:sectPr>
      </w:pPr>
      <w:r>
        <w:t>本报告中披露信息和数据均来自</w:t>
      </w:r>
      <w:r>
        <w:rPr>
          <w:rFonts w:hint="eastAsia"/>
          <w:lang w:val="en-US" w:eastAsia="zh-CN"/>
        </w:rPr>
        <w:t>锦湖轮胎（天津）有限公司</w:t>
      </w:r>
      <w:r>
        <w:t>正式文件和统计报告</w:t>
      </w:r>
      <w:r>
        <w:rPr>
          <w:rFonts w:hint="eastAsia"/>
        </w:rPr>
        <w:t>，</w:t>
      </w:r>
      <w:r>
        <w:t>且经过相关部门审核</w:t>
      </w:r>
      <w:r>
        <w:rPr>
          <w:rFonts w:hint="eastAsia"/>
        </w:rPr>
        <w:t>。</w:t>
      </w:r>
      <w:r>
        <w:t>报告内容不存在任何虚假记载</w:t>
      </w:r>
      <w:r>
        <w:rPr>
          <w:rFonts w:hint="eastAsia"/>
        </w:rPr>
        <w:t>、</w:t>
      </w:r>
      <w:r>
        <w:t>误导性陈述或重大遗漏</w:t>
      </w:r>
      <w:r>
        <w:rPr>
          <w:rFonts w:hint="eastAsia"/>
          <w:lang w:eastAsia="zh-CN"/>
        </w:rPr>
        <w:t>。</w:t>
      </w:r>
    </w:p>
    <w:p>
      <w:pPr>
        <w:ind w:left="0" w:leftChars="0" w:firstLine="0" w:firstLineChars="0"/>
      </w:pPr>
    </w:p>
    <w:p>
      <w:pPr>
        <w:pStyle w:val="3"/>
        <w:numPr>
          <w:ilvl w:val="0"/>
          <w:numId w:val="1"/>
        </w:numPr>
        <w:spacing w:before="0" w:after="0" w:line="360" w:lineRule="auto"/>
        <w:ind w:firstLine="0" w:firstLineChars="0"/>
        <w:rPr>
          <w:sz w:val="28"/>
          <w:szCs w:val="28"/>
        </w:rPr>
      </w:pPr>
      <w:bookmarkStart w:id="1" w:name="_Toc4136"/>
      <w:r>
        <w:rPr>
          <w:sz w:val="28"/>
          <w:szCs w:val="28"/>
        </w:rPr>
        <w:t>公司基本情况</w:t>
      </w:r>
      <w:bookmarkEnd w:id="1"/>
    </w:p>
    <w:p>
      <w:pPr>
        <w:ind w:firstLine="480"/>
        <w:rPr>
          <w:rFonts w:hint="eastAsia"/>
          <w:spacing w:val="-7"/>
          <w:lang w:eastAsia="zh-CN"/>
        </w:rPr>
      </w:pPr>
      <w:r>
        <w:rPr>
          <w:spacing w:val="-14"/>
        </w:rPr>
        <w:t>锦湖轮胎</w:t>
      </w:r>
      <w:r>
        <w:t>（天津</w:t>
      </w:r>
      <w:r>
        <w:rPr>
          <w:spacing w:val="-56"/>
        </w:rPr>
        <w:t>）</w:t>
      </w:r>
      <w:r>
        <w:rPr>
          <w:spacing w:val="-14"/>
        </w:rPr>
        <w:t>有限公司</w:t>
      </w:r>
      <w:r>
        <w:t>（</w:t>
      </w:r>
      <w:r>
        <w:rPr>
          <w:spacing w:val="-8"/>
        </w:rPr>
        <w:t>以下简称：锦湖公司或公司</w:t>
      </w:r>
      <w:r>
        <w:rPr>
          <w:spacing w:val="-56"/>
        </w:rPr>
        <w:t>）</w:t>
      </w:r>
      <w:r>
        <w:rPr>
          <w:spacing w:val="-10"/>
        </w:rPr>
        <w:t>是由锦湖轮胎</w:t>
      </w:r>
      <w:r>
        <w:t>（香港</w:t>
      </w:r>
      <w:r>
        <w:rPr>
          <w:spacing w:val="-17"/>
        </w:rPr>
        <w:t>）</w:t>
      </w:r>
      <w:r>
        <w:rPr>
          <w:spacing w:val="-4"/>
        </w:rPr>
        <w:t>有限公司投资建立的台港澳法人独资企业，公司法人：</w:t>
      </w:r>
      <w:r>
        <w:rPr>
          <w:rFonts w:hint="eastAsia" w:ascii="宋体" w:hAnsi="宋体" w:cs="宋体"/>
          <w:color w:val="000000"/>
          <w:kern w:val="0"/>
          <w:sz w:val="24"/>
          <w:szCs w:val="24"/>
          <w:highlight w:val="none"/>
          <w:lang w:val="en-US" w:eastAsia="zh-CN" w:bidi="ar"/>
        </w:rPr>
        <w:t>姜俊锡</w:t>
      </w:r>
      <w:r>
        <w:rPr>
          <w:spacing w:val="-4"/>
        </w:rPr>
        <w:t>，总经理：成</w:t>
      </w:r>
      <w:r>
        <w:rPr>
          <w:spacing w:val="-8"/>
        </w:rPr>
        <w:t>金炯。公司位于天津经济技术开发区西区中南二街</w:t>
      </w:r>
      <w:r>
        <w:t>333</w:t>
      </w:r>
      <w:r>
        <w:rPr>
          <w:spacing w:val="-7"/>
        </w:rPr>
        <w:t xml:space="preserve"> 号</w:t>
      </w:r>
      <w:r>
        <w:rPr>
          <w:rFonts w:hint="eastAsia"/>
          <w:spacing w:val="-7"/>
          <w:lang w:eastAsia="zh-CN"/>
        </w:rPr>
        <w:t>。</w:t>
      </w:r>
    </w:p>
    <w:p>
      <w:pPr>
        <w:pStyle w:val="8"/>
        <w:spacing w:line="364" w:lineRule="auto"/>
        <w:ind w:left="0" w:leftChars="0" w:right="345" w:firstLine="508" w:firstLineChars="200"/>
        <w:jc w:val="both"/>
      </w:pPr>
      <w:r>
        <w:rPr>
          <w:spacing w:val="7"/>
        </w:rPr>
        <w:t xml:space="preserve">锦湖公司于 </w:t>
      </w:r>
      <w:r>
        <w:t>2005</w:t>
      </w:r>
      <w:r>
        <w:rPr>
          <w:spacing w:val="5"/>
        </w:rPr>
        <w:t xml:space="preserve"> 年 </w:t>
      </w:r>
      <w:r>
        <w:t>4</w:t>
      </w:r>
      <w:r>
        <w:rPr>
          <w:spacing w:val="9"/>
        </w:rPr>
        <w:t xml:space="preserve"> 月于天津经济技术开发区注册成立，注册资本为</w:t>
      </w:r>
      <w:r>
        <w:t>30684.8</w:t>
      </w:r>
      <w:r>
        <w:rPr>
          <w:spacing w:val="-10"/>
        </w:rPr>
        <w:t xml:space="preserve"> 万美元，专业从事子午线轮胎生产。生产的产品主要是子午线轮胎和缺</w:t>
      </w:r>
      <w:r>
        <w:t>气保用子午线轮胎。2006</w:t>
      </w:r>
      <w:r>
        <w:rPr>
          <w:spacing w:val="-28"/>
        </w:rPr>
        <w:t xml:space="preserve"> 年 </w:t>
      </w:r>
      <w:r>
        <w:t>7</w:t>
      </w:r>
      <w:r>
        <w:rPr>
          <w:spacing w:val="-9"/>
        </w:rPr>
        <w:t xml:space="preserve"> 月完成一期建设并投产。生产规模为年产 </w:t>
      </w:r>
      <w:r>
        <w:t>525</w:t>
      </w:r>
      <w:r>
        <w:rPr>
          <w:spacing w:val="-28"/>
        </w:rPr>
        <w:t xml:space="preserve"> 万</w:t>
      </w:r>
      <w:r>
        <w:t>条子午线轮胎；2007</w:t>
      </w:r>
      <w:r>
        <w:rPr>
          <w:spacing w:val="-33"/>
        </w:rPr>
        <w:t xml:space="preserve"> 年至 </w:t>
      </w:r>
      <w:r>
        <w:t>2010</w:t>
      </w:r>
      <w:r>
        <w:rPr>
          <w:spacing w:val="-11"/>
        </w:rPr>
        <w:t xml:space="preserve"> 年进行了二期改扩建工程，完成高性能、缺气保</w:t>
      </w:r>
      <w:r>
        <w:rPr>
          <w:spacing w:val="-6"/>
        </w:rPr>
        <w:t>用子午线轮胎技术改造，进一步扩大了子午线轮胎产能。经过改扩建工程，轮胎</w:t>
      </w:r>
      <w:r>
        <w:rPr>
          <w:spacing w:val="-8"/>
        </w:rPr>
        <w:t xml:space="preserve">产品生产规模不断扩大，现已形成年产 </w:t>
      </w:r>
      <w:r>
        <w:t>900</w:t>
      </w:r>
      <w:r>
        <w:rPr>
          <w:spacing w:val="-12"/>
        </w:rPr>
        <w:t xml:space="preserve"> 万条子午轮胎综合生产能力。产品覆</w:t>
      </w:r>
      <w:r>
        <w:rPr>
          <w:spacing w:val="-21"/>
        </w:rPr>
        <w:t>盖了轿车用轮胎、小型卡车用轮胎、高性能轮胎等多个类别。成为国内北京现代、</w:t>
      </w:r>
      <w:r>
        <w:t>长城汽车、</w:t>
      </w:r>
      <w:r>
        <w:rPr>
          <w:rFonts w:hint="eastAsia"/>
          <w:lang w:eastAsia="zh-CN"/>
        </w:rPr>
        <w:t>吉利汽车</w:t>
      </w:r>
      <w:r>
        <w:t>等多个知名汽车制造企业的合格供应商。</w:t>
      </w:r>
    </w:p>
    <w:p>
      <w:pPr>
        <w:pStyle w:val="8"/>
        <w:spacing w:line="364" w:lineRule="auto"/>
        <w:ind w:left="238" w:right="233" w:firstLine="479"/>
        <w:jc w:val="both"/>
      </w:pPr>
      <w:r>
        <w:t>锦湖公司拥有国际一流的轮胎生产技术设备，为确保轮胎产品的优良品质， 2010年投资1700 万美元， 在厂区增设胎胚自动输送系统，建设了生产网络管理信息系统。</w:t>
      </w:r>
    </w:p>
    <w:p>
      <w:pPr>
        <w:pStyle w:val="8"/>
        <w:spacing w:before="160" w:line="364" w:lineRule="auto"/>
        <w:ind w:left="238" w:right="235" w:firstLine="479"/>
      </w:pPr>
      <w:r>
        <w:rPr>
          <w:spacing w:val="-11"/>
        </w:rPr>
        <w:t>锦湖轮胎公司认真落实国家和天津市有关节能、环保、清洁生产的各项法律、</w:t>
      </w:r>
      <w:r>
        <w:rPr>
          <w:spacing w:val="-5"/>
        </w:rPr>
        <w:t>法规，把“资源综合利用和环境保护作为企业的立足之本”，秉持“品质塑造锦</w:t>
      </w:r>
      <w:r>
        <w:rPr>
          <w:spacing w:val="-11"/>
        </w:rPr>
        <w:t>湖，点滴铸就未来”的发展理念，注重环境效益和产品品质提升持续不断地推进</w:t>
      </w:r>
      <w:r>
        <w:rPr>
          <w:rFonts w:hint="eastAsia"/>
          <w:spacing w:val="-11"/>
          <w:lang w:eastAsia="zh-CN"/>
        </w:rPr>
        <w:t>，</w:t>
      </w:r>
      <w:r>
        <w:rPr>
          <w:spacing w:val="-12"/>
        </w:rPr>
        <w:t>以“节能、降耗、减污、增效”为目标的技术改造措施，使企业不断向资源节约</w:t>
      </w:r>
      <w:r>
        <w:t>型、环境友好型方向迈进。</w:t>
      </w:r>
    </w:p>
    <w:p>
      <w:pPr>
        <w:spacing w:after="0" w:line="364" w:lineRule="auto"/>
        <w:sectPr>
          <w:pgSz w:w="11910" w:h="16840"/>
          <w:pgMar w:top="1100" w:right="1440" w:bottom="1180" w:left="1560" w:header="877" w:footer="999" w:gutter="0"/>
          <w:pgNumType w:fmt="decimal"/>
          <w:cols w:space="720" w:num="1"/>
        </w:sectPr>
      </w:pPr>
    </w:p>
    <w:p>
      <w:pPr>
        <w:pStyle w:val="8"/>
        <w:spacing w:before="12"/>
        <w:rPr>
          <w:sz w:val="19"/>
        </w:rPr>
      </w:pPr>
    </w:p>
    <w:p>
      <w:pPr>
        <w:ind w:left="0" w:leftChars="0" w:firstLine="0" w:firstLineChars="0"/>
        <w:jc w:val="center"/>
        <w:rPr>
          <w:rFonts w:hint="eastAsia" w:eastAsiaTheme="minorEastAsia"/>
          <w:szCs w:val="24"/>
          <w:lang w:eastAsia="zh-CN"/>
        </w:rPr>
      </w:pPr>
      <w:r>
        <w:drawing>
          <wp:inline distT="0" distB="0" distL="114300" distR="114300">
            <wp:extent cx="5241290" cy="3897630"/>
            <wp:effectExtent l="0" t="0" r="16510" b="0"/>
            <wp:docPr id="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
                    <pic:cNvPicPr>
                      <a:picLocks noChangeAspect="1"/>
                    </pic:cNvPicPr>
                  </pic:nvPicPr>
                  <pic:blipFill>
                    <a:blip r:embed="rId14"/>
                    <a:stretch>
                      <a:fillRect/>
                    </a:stretch>
                  </pic:blipFill>
                  <pic:spPr>
                    <a:xfrm>
                      <a:off x="0" y="0"/>
                      <a:ext cx="5241290" cy="3897630"/>
                    </a:xfrm>
                    <a:prstGeom prst="rect">
                      <a:avLst/>
                    </a:prstGeom>
                    <a:noFill/>
                    <a:ln>
                      <a:noFill/>
                    </a:ln>
                  </pic:spPr>
                </pic:pic>
              </a:graphicData>
            </a:graphic>
          </wp:inline>
        </w:drawing>
      </w:r>
    </w:p>
    <w:p>
      <w:pPr>
        <w:ind w:firstLine="0" w:firstLineChars="0"/>
        <w:jc w:val="center"/>
      </w:pPr>
      <w:r>
        <w:rPr>
          <w:rFonts w:hint="eastAsia"/>
        </w:rPr>
        <w:t>图1</w:t>
      </w:r>
      <w:r>
        <w:rPr>
          <w:rFonts w:hint="eastAsia"/>
          <w:lang w:eastAsia="zh-CN"/>
        </w:rPr>
        <w:t>锦湖轮胎（天津）有限公司</w:t>
      </w:r>
      <w:r>
        <w:rPr>
          <w:rFonts w:hint="eastAsia"/>
        </w:rPr>
        <w:t>组织架构图</w:t>
      </w:r>
    </w:p>
    <w:p>
      <w:pPr>
        <w:pStyle w:val="3"/>
        <w:spacing w:before="0" w:after="0" w:line="360" w:lineRule="auto"/>
        <w:ind w:firstLine="0" w:firstLineChars="0"/>
        <w:rPr>
          <w:sz w:val="28"/>
          <w:szCs w:val="28"/>
        </w:rPr>
      </w:pPr>
      <w:bookmarkStart w:id="2" w:name="_Toc25241"/>
      <w:r>
        <w:rPr>
          <w:rFonts w:hint="eastAsia"/>
          <w:sz w:val="28"/>
          <w:szCs w:val="28"/>
        </w:rPr>
        <w:t xml:space="preserve">第二章 </w:t>
      </w:r>
      <w:r>
        <w:rPr>
          <w:sz w:val="28"/>
          <w:szCs w:val="28"/>
        </w:rPr>
        <w:t>员工权益和健康安全保障</w:t>
      </w:r>
      <w:bookmarkEnd w:id="2"/>
    </w:p>
    <w:p>
      <w:pPr>
        <w:ind w:firstLine="0" w:firstLineChars="0"/>
        <w:rPr>
          <w:b/>
        </w:rPr>
      </w:pPr>
      <w:r>
        <w:rPr>
          <w:rFonts w:hint="eastAsia"/>
          <w:b/>
        </w:rPr>
        <w:t>1</w:t>
      </w:r>
      <w:r>
        <w:rPr>
          <w:b/>
        </w:rPr>
        <w:t>. 维护员工权益</w:t>
      </w:r>
    </w:p>
    <w:p>
      <w:pPr>
        <w:ind w:firstLine="480"/>
        <w:rPr>
          <w:rFonts w:hint="eastAsia"/>
          <w:color w:val="000000" w:themeColor="text1"/>
          <w:szCs w:val="24"/>
          <w14:textFill>
            <w14:solidFill>
              <w14:schemeClr w14:val="tx1"/>
            </w14:solidFill>
          </w14:textFill>
        </w:rPr>
      </w:pPr>
      <w:r>
        <w:rPr>
          <w:rFonts w:hint="eastAsia"/>
          <w:color w:val="000000" w:themeColor="text1"/>
          <w:lang w:eastAsia="zh-CN"/>
          <w14:textFill>
            <w14:solidFill>
              <w14:schemeClr w14:val="tx1"/>
            </w14:solidFill>
          </w14:textFill>
        </w:rPr>
        <w:t>锦湖轮胎（天津）有限公司</w:t>
      </w:r>
      <w:r>
        <w:rPr>
          <w:rFonts w:hint="eastAsia"/>
          <w:color w:val="000000" w:themeColor="text1"/>
          <w14:textFill>
            <w14:solidFill>
              <w14:schemeClr w14:val="tx1"/>
            </w14:solidFill>
          </w14:textFill>
        </w:rPr>
        <w:t>秉承“以人为本”的管理理念，严格遵守《公司法》、《劳动合同法》等法律法规要求，致力于营造平等、公平、和谐的工作环境。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我们建立并实施科学的人事管理制度，保障每位员工的合法权益。根据企业实际的生产经营状况提供有市场竞争力的薪酬福利并合理安排员工的生产和休假</w:t>
      </w:r>
      <w:r>
        <w:rPr>
          <w:rFonts w:hint="eastAsia"/>
          <w:color w:val="000000" w:themeColor="text1"/>
          <w:szCs w:val="24"/>
          <w14:textFill>
            <w14:solidFill>
              <w14:schemeClr w14:val="tx1"/>
            </w14:solidFill>
          </w14:textFill>
        </w:rPr>
        <w:t>。</w:t>
      </w:r>
    </w:p>
    <w:p>
      <w:pPr>
        <w:ind w:firstLine="48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公司高度重视培训工作，积极组织开展多种形式的岗位培训、技能培训、管理培训等，并鼓励和奖励员工自我学习，帮助员工制定职业规划，鼓励员工承担有挑战性的工作，着力打造“学习型”的企业。</w:t>
      </w:r>
    </w:p>
    <w:p>
      <w:pPr>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 保障员工健康安全</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为了提高职工的安全意识和自我保护能力，增强安全生产责任心和遵章守纪的自觉性，</w:t>
      </w:r>
      <w:r>
        <w:rPr>
          <w:rFonts w:hint="eastAsia"/>
          <w:color w:val="000000" w:themeColor="text1"/>
          <w:lang w:val="en-US" w:eastAsia="zh-CN"/>
          <w14:textFill>
            <w14:solidFill>
              <w14:schemeClr w14:val="tx1"/>
            </w14:solidFill>
          </w14:textFill>
        </w:rPr>
        <w:t>公司</w:t>
      </w:r>
      <w:r>
        <w:rPr>
          <w:rFonts w:hint="eastAsia"/>
          <w:color w:val="000000" w:themeColor="text1"/>
          <w:lang w:eastAsia="zh-CN"/>
          <w14:textFill>
            <w14:solidFill>
              <w14:schemeClr w14:val="tx1"/>
            </w14:solidFill>
          </w14:textFill>
        </w:rPr>
        <w:t>要求各级人员严格按照质量、环境和职业健康安全管理体系的要求执行，从而确保体系的有效实施，提升员工的职业健康安全水平</w:t>
      </w:r>
      <w:r>
        <w:rPr>
          <w:color w:val="000000" w:themeColor="text1"/>
          <w14:textFill>
            <w14:solidFill>
              <w14:schemeClr w14:val="tx1"/>
            </w14:solidFill>
          </w14:textFill>
        </w:rPr>
        <w:t>。</w:t>
      </w:r>
    </w:p>
    <w:p>
      <w:pPr>
        <w:ind w:firstLine="480"/>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办公室为公司的各部门和各岗位人员制定任职要求，组织对应的岗前基础教育，并对培训效果进行评估，实行有效奖惩。这样能够有效地提升各级员工的安全防护意识和能力。</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为了落实“以质量求生存，以信誉求发展，全员环保，污染预防，节能降耗，保障健康安全，减少风险，遵守法规，持续发展。”的方针政策，提升企业应对突发风险事件的能力，降低风险转事故和降低人身伤亡、职业病的发生概率，公司制定了详细的应急响应管理程序和危险源辨识与风险评价控制程序，并配套了相对应的管理制度。根据应急预案的类别可分为火灾和爆炸类、自然灾害类、危险化学品泄漏类、重大设备事故类以及机械伤害类等。</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公司制定了应急准备预防措施，包括（</w:t>
      </w:r>
      <w:r>
        <w:rPr>
          <w:rFonts w:hint="eastAsia"/>
          <w:color w:val="000000" w:themeColor="text1"/>
          <w:lang w:val="en-US" w:eastAsia="zh-CN"/>
          <w14:textFill>
            <w14:solidFill>
              <w14:schemeClr w14:val="tx1"/>
            </w14:solidFill>
          </w14:textFill>
        </w:rPr>
        <w:t>1</w:t>
      </w:r>
      <w:r>
        <w:rPr>
          <w:rFonts w:hint="eastAsia"/>
          <w:color w:val="000000" w:themeColor="text1"/>
          <w:lang w:eastAsia="zh-CN"/>
          <w14:textFill>
            <w14:solidFill>
              <w14:schemeClr w14:val="tx1"/>
            </w14:solidFill>
          </w14:textFill>
        </w:rPr>
        <w:t>）办公室对员工的安全环保及响应教育培训。（</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）办公室对于消防设施和器材的日常管理和使用维保及检查记录。（</w:t>
      </w:r>
      <w:r>
        <w:rPr>
          <w:rFonts w:hint="eastAsia"/>
          <w:color w:val="000000" w:themeColor="text1"/>
          <w:lang w:val="en-US" w:eastAsia="zh-CN"/>
          <w14:textFill>
            <w14:solidFill>
              <w14:schemeClr w14:val="tx1"/>
            </w14:solidFill>
          </w14:textFill>
        </w:rPr>
        <w:t>3</w:t>
      </w:r>
      <w:r>
        <w:rPr>
          <w:rFonts w:hint="eastAsia"/>
          <w:color w:val="000000" w:themeColor="text1"/>
          <w:lang w:eastAsia="zh-CN"/>
          <w14:textFill>
            <w14:solidFill>
              <w14:schemeClr w14:val="tx1"/>
            </w14:solidFill>
          </w14:textFill>
        </w:rPr>
        <w:t>）专业电力技术人员不定期的对全厂电气设备及电力电缆等设备设施进行检查和维护。（</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）对于易燃、易爆、有毒有害物质、化学品的仓储管理，公司设置了专用的危废物品储存间，并配有充足的应急准备物资。（</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）对于潜在事故和应急情况的重要岗位配备了必要的个人防护用品和应急物资。（</w:t>
      </w:r>
      <w:r>
        <w:rPr>
          <w:rFonts w:hint="eastAsia"/>
          <w:color w:val="000000" w:themeColor="text1"/>
          <w:lang w:val="en-US" w:eastAsia="zh-CN"/>
          <w14:textFill>
            <w14:solidFill>
              <w14:schemeClr w14:val="tx1"/>
            </w14:solidFill>
          </w14:textFill>
        </w:rPr>
        <w:t>6</w:t>
      </w:r>
      <w:r>
        <w:rPr>
          <w:rFonts w:hint="eastAsia"/>
          <w:color w:val="000000" w:themeColor="text1"/>
          <w:lang w:eastAsia="zh-CN"/>
          <w14:textFill>
            <w14:solidFill>
              <w14:schemeClr w14:val="tx1"/>
            </w14:solidFill>
          </w14:textFill>
        </w:rPr>
        <w:t>）建立了完善的紧急状态联络办法和与外部机构的联系渠道，门卫室及有关地点留有事故报告电话及负责人姓名。</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同时公司规定应急预案和响应措施实施，要贯彻“预防为主，以人为本”的原则，使紧急状态尽可能不发生，一旦发生紧急事件，现场指挥应按照应急预案规定的措施和步骤组织实施，减少对环境的负面影响，和减少人员伤害财产损失。</w:t>
      </w:r>
    </w:p>
    <w:p>
      <w:pPr>
        <w:ind w:firstLine="480"/>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公司</w:t>
      </w:r>
      <w:r>
        <w:rPr>
          <w:rFonts w:hint="eastAsia"/>
          <w:color w:val="000000" w:themeColor="text1"/>
          <w:lang w:eastAsia="zh-CN"/>
          <w14:textFill>
            <w14:solidFill>
              <w14:schemeClr w14:val="tx1"/>
            </w14:solidFill>
          </w14:textFill>
        </w:rPr>
        <w:t>顺利获得</w:t>
      </w:r>
      <w:r>
        <w:rPr>
          <w:rFonts w:hint="eastAsia"/>
          <w:color w:val="000000" w:themeColor="text1"/>
          <w:lang w:val="en-US" w:eastAsia="zh-CN"/>
          <w14:textFill>
            <w14:solidFill>
              <w14:schemeClr w14:val="tx1"/>
            </w14:solidFill>
          </w14:textFill>
        </w:rPr>
        <w:t>IATF16949:2016《质量管理体系认证证书》、ISO9001《质量管理体系认证证书》</w:t>
      </w:r>
      <w:r>
        <w:rPr>
          <w:rFonts w:hint="eastAsia" w:cs="Times New Roman"/>
          <w:color w:val="000000" w:themeColor="text1"/>
          <w:lang w:val="en-US" w:eastAsia="zh-CN"/>
          <w14:textFill>
            <w14:solidFill>
              <w14:schemeClr w14:val="tx1"/>
            </w14:solidFill>
          </w14:textFill>
        </w:rPr>
        <w:t>，ISO14001《环境管理体系认证证书》，</w:t>
      </w:r>
      <w:r>
        <w:rPr>
          <w:rFonts w:hint="eastAsia"/>
          <w:color w:val="000000" w:themeColor="text1"/>
          <w:lang w:eastAsia="zh-CN"/>
          <w14:textFill>
            <w14:solidFill>
              <w14:schemeClr w14:val="tx1"/>
            </w14:solidFill>
          </w14:textFill>
        </w:rPr>
        <w:t>同时获得</w:t>
      </w:r>
      <w:r>
        <w:rPr>
          <w:rFonts w:hint="eastAsia"/>
          <w:color w:val="000000" w:themeColor="text1"/>
          <w:lang w:val="en-US" w:eastAsia="zh-CN"/>
          <w14:textFill>
            <w14:solidFill>
              <w14:schemeClr w14:val="tx1"/>
            </w14:solidFill>
          </w14:textFill>
        </w:rPr>
        <w:t>ISO45001《</w:t>
      </w:r>
      <w:r>
        <w:rPr>
          <w:color w:val="000000" w:themeColor="text1"/>
          <w14:textFill>
            <w14:solidFill>
              <w14:schemeClr w14:val="tx1"/>
            </w14:solidFill>
          </w14:textFill>
        </w:rPr>
        <w:t>职业健康安全管理体系认证证书》</w:t>
      </w:r>
      <w:r>
        <w:rPr>
          <w:rFonts w:hint="eastAsia"/>
          <w:color w:val="000000" w:themeColor="text1"/>
          <w:lang w:val="en-US" w:eastAsia="zh-CN"/>
          <w14:textFill>
            <w14:solidFill>
              <w14:schemeClr w14:val="tx1"/>
            </w14:solidFill>
          </w14:textFill>
        </w:rPr>
        <w:t>及ISO 50001</w:t>
      </w:r>
      <w:r>
        <w:rPr>
          <w:rFonts w:hint="eastAsia"/>
          <w:color w:val="000000" w:themeColor="text1"/>
          <w:lang w:val="zh-CN"/>
          <w14:textFill>
            <w14:solidFill>
              <w14:schemeClr w14:val="tx1"/>
            </w14:solidFill>
          </w14:textFill>
        </w:rPr>
        <w:t>《能源管理</w:t>
      </w:r>
      <w:r>
        <w:rPr>
          <w:color w:val="000000" w:themeColor="text1"/>
          <w:lang w:val="zh-CN"/>
          <w14:textFill>
            <w14:solidFill>
              <w14:schemeClr w14:val="tx1"/>
            </w14:solidFill>
          </w14:textFill>
        </w:rPr>
        <w:t>体系认证证书</w:t>
      </w:r>
      <w:r>
        <w:rPr>
          <w:rFonts w:hint="eastAsia"/>
          <w:color w:val="000000" w:themeColor="text1"/>
          <w:lang w:val="zh-CN"/>
          <w14:textFill>
            <w14:solidFill>
              <w14:schemeClr w14:val="tx1"/>
            </w14:solidFill>
          </w14:textFill>
        </w:rPr>
        <w:t>》。</w:t>
      </w:r>
    </w:p>
    <w:p>
      <w:pPr>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r>
        <w:rPr>
          <w:b/>
          <w:color w:val="000000" w:themeColor="text1"/>
          <w14:textFill>
            <w14:solidFill>
              <w14:schemeClr w14:val="tx1"/>
            </w14:solidFill>
          </w14:textFill>
        </w:rPr>
        <w:t>. 注重员工培训与发展</w:t>
      </w:r>
      <w:r>
        <w:rPr>
          <w:rFonts w:hint="eastAsia"/>
          <w:b/>
          <w:color w:val="000000" w:themeColor="text1"/>
          <w14:textFill>
            <w14:solidFill>
              <w14:schemeClr w14:val="tx1"/>
            </w14:solidFill>
          </w14:textFill>
        </w:rPr>
        <w:t xml:space="preserve"> </w:t>
      </w:r>
    </w:p>
    <w:p>
      <w:pPr>
        <w:ind w:firstLine="468" w:firstLineChars="195"/>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本公司在尊重、信任、爱护的基础上，为员工建立完善的职业生涯通道，重视员工职业技能的提升和综合素质的培养，</w:t>
      </w:r>
      <w:r>
        <w:rPr>
          <w:rFonts w:hint="eastAsia"/>
          <w:color w:val="000000" w:themeColor="text1"/>
          <w14:textFill>
            <w14:solidFill>
              <w14:schemeClr w14:val="tx1"/>
            </w14:solidFill>
          </w14:textFill>
        </w:rPr>
        <w:t>公司办公室根据各部门提出的培训要求以及提高人员素质</w:t>
      </w:r>
      <w:r>
        <w:rPr>
          <w:rFonts w:hint="eastAsia"/>
          <w:color w:val="000000" w:themeColor="text1"/>
          <w:lang w:eastAsia="zh-CN"/>
          <w14:textFill>
            <w14:solidFill>
              <w14:schemeClr w14:val="tx1"/>
            </w14:solidFill>
          </w14:textFill>
        </w:rPr>
        <w:t>的需求</w:t>
      </w:r>
      <w:r>
        <w:rPr>
          <w:rFonts w:hint="eastAsia" w:ascii="楷体" w:hAnsi="楷体" w:eastAsia="楷体"/>
          <w:color w:val="000000" w:themeColor="text1"/>
          <w:sz w:val="28"/>
          <w:szCs w:val="28"/>
          <w14:textFill>
            <w14:solidFill>
              <w14:schemeClr w14:val="tx1"/>
            </w14:solidFill>
          </w14:textFill>
        </w:rPr>
        <w:t>。</w:t>
      </w:r>
      <w:r>
        <w:rPr>
          <w:rFonts w:hint="eastAsia"/>
          <w:color w:val="000000" w:themeColor="text1"/>
          <w14:textFill>
            <w14:solidFill>
              <w14:schemeClr w14:val="tx1"/>
            </w14:solidFill>
          </w14:textFill>
        </w:rPr>
        <w:t>于每年</w:t>
      </w:r>
      <w:r>
        <w:rPr>
          <w:rFonts w:hint="eastAsia"/>
          <w:color w:val="000000" w:themeColor="text1"/>
          <w:lang w:val="en-US" w:eastAsia="zh-CN"/>
          <w14:textFill>
            <w14:solidFill>
              <w14:schemeClr w14:val="tx1"/>
            </w14:solidFill>
          </w14:textFill>
        </w:rPr>
        <w:t>年初制定本年度</w:t>
      </w:r>
      <w:r>
        <w:rPr>
          <w:rFonts w:hint="eastAsia"/>
          <w:color w:val="000000" w:themeColor="text1"/>
          <w14:textFill>
            <w14:solidFill>
              <w14:schemeClr w14:val="tx1"/>
            </w14:solidFill>
          </w14:textFill>
        </w:rPr>
        <w:t>的《年度培训计划》</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报总经理审批后实施</w:t>
      </w:r>
      <w:r>
        <w:rPr>
          <w:rFonts w:hint="eastAsia"/>
          <w:color w:val="000000" w:themeColor="text1"/>
          <w:lang w:eastAsia="zh-CN"/>
          <w14:textFill>
            <w14:solidFill>
              <w14:schemeClr w14:val="tx1"/>
            </w14:solidFill>
          </w14:textFill>
        </w:rPr>
        <w:t>。</w:t>
      </w:r>
    </w:p>
    <w:p>
      <w:pPr>
        <w:ind w:firstLine="468" w:firstLineChars="195"/>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培训的内容多种多样，主要分为必要性培训、部门岗位培训和发展性培训三大类。必要性培训主要是为了提高员工的职业素质，使员工对相关法律、方针、政策有更加清晰的认识，理清工作思路，提升必要的工作技能；部门岗位培训是通过专业技能的培训，提高岗位人员的任职能力。而发展性培训是针对管理人员组织不定期的培训，使他们提高学习知识的能力，逐步掌握使用日常生产工具的方法，例如能源平衡的计算、能效评估、清洁生产审核原则等。</w:t>
      </w:r>
    </w:p>
    <w:p>
      <w:pPr>
        <w:ind w:firstLine="468" w:firstLineChars="195"/>
        <w:rPr>
          <w:b/>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需要特别提出的是，针对新员工和转岗员工会进行多种形式的在岗培训</w:t>
      </w:r>
      <w:r>
        <w:rPr>
          <w:color w:val="000000" w:themeColor="text1"/>
          <w14:textFill>
            <w14:solidFill>
              <w14:schemeClr w14:val="tx1"/>
            </w14:solidFill>
          </w14:textFill>
        </w:rPr>
        <w:t>，帮助</w:t>
      </w:r>
      <w:r>
        <w:rPr>
          <w:rFonts w:hint="eastAsia"/>
          <w:color w:val="000000" w:themeColor="text1"/>
          <w:lang w:eastAsia="zh-CN"/>
          <w14:textFill>
            <w14:solidFill>
              <w14:schemeClr w14:val="tx1"/>
            </w14:solidFill>
          </w14:textFill>
        </w:rPr>
        <w:t>被培训人员</w:t>
      </w:r>
      <w:r>
        <w:rPr>
          <w:color w:val="000000" w:themeColor="text1"/>
          <w14:textFill>
            <w14:solidFill>
              <w14:schemeClr w14:val="tx1"/>
            </w14:solidFill>
          </w14:textFill>
        </w:rPr>
        <w:t>迅速融入岗位，</w:t>
      </w:r>
      <w:r>
        <w:rPr>
          <w:rFonts w:hint="eastAsia"/>
          <w:color w:val="000000" w:themeColor="text1"/>
          <w:lang w:eastAsia="zh-CN"/>
          <w14:textFill>
            <w14:solidFill>
              <w14:schemeClr w14:val="tx1"/>
            </w14:solidFill>
          </w14:textFill>
        </w:rPr>
        <w:t>打造</w:t>
      </w:r>
      <w:r>
        <w:rPr>
          <w:color w:val="000000" w:themeColor="text1"/>
          <w14:textFill>
            <w14:solidFill>
              <w14:schemeClr w14:val="tx1"/>
            </w14:solidFill>
          </w14:textFill>
        </w:rPr>
        <w:t>和谐稳定的劳资关系，促进员工职业发展，形成良好</w:t>
      </w:r>
      <w:r>
        <w:rPr>
          <w:rFonts w:hint="eastAsia"/>
          <w:color w:val="000000" w:themeColor="text1"/>
          <w:lang w:eastAsia="zh-CN"/>
          <w14:textFill>
            <w14:solidFill>
              <w14:schemeClr w14:val="tx1"/>
            </w14:solidFill>
          </w14:textFill>
        </w:rPr>
        <w:t>的</w:t>
      </w:r>
      <w:r>
        <w:rPr>
          <w:color w:val="000000" w:themeColor="text1"/>
          <w14:textFill>
            <w14:solidFill>
              <w14:schemeClr w14:val="tx1"/>
            </w14:solidFill>
          </w14:textFill>
        </w:rPr>
        <w:t>学习氛围。</w:t>
      </w:r>
    </w:p>
    <w:p>
      <w:pPr>
        <w:pStyle w:val="3"/>
        <w:spacing w:before="0" w:after="0" w:line="360" w:lineRule="auto"/>
        <w:ind w:firstLine="0" w:firstLineChars="0"/>
        <w:rPr>
          <w:sz w:val="28"/>
          <w:szCs w:val="28"/>
        </w:rPr>
      </w:pPr>
      <w:bookmarkStart w:id="3" w:name="_Toc6790"/>
      <w:r>
        <w:rPr>
          <w:rFonts w:hint="eastAsia"/>
          <w:sz w:val="28"/>
          <w:szCs w:val="28"/>
        </w:rPr>
        <w:t xml:space="preserve">第三章 </w:t>
      </w:r>
      <w:r>
        <w:rPr>
          <w:sz w:val="28"/>
          <w:szCs w:val="28"/>
        </w:rPr>
        <w:t>供</w:t>
      </w:r>
      <w:r>
        <w:rPr>
          <w:rFonts w:hint="eastAsia"/>
          <w:sz w:val="28"/>
          <w:szCs w:val="28"/>
          <w:lang w:eastAsia="zh-CN"/>
        </w:rPr>
        <w:t>方</w:t>
      </w:r>
      <w:r>
        <w:rPr>
          <w:sz w:val="28"/>
          <w:szCs w:val="28"/>
        </w:rPr>
        <w:t>管理与合作发展</w:t>
      </w:r>
      <w:bookmarkEnd w:id="3"/>
    </w:p>
    <w:p>
      <w:pPr>
        <w:ind w:firstLine="480"/>
        <w:rPr>
          <w:rFonts w:hint="default" w:eastAsiaTheme="minorEastAsia"/>
          <w:lang w:val="en-US" w:eastAsia="zh-CN"/>
        </w:rPr>
      </w:pPr>
      <w:r>
        <w:rPr>
          <w:rFonts w:hint="eastAsia"/>
          <w:lang w:val="en-US" w:eastAsia="zh-CN"/>
        </w:rPr>
        <w:t>锦湖轮胎（天津）公司</w:t>
      </w:r>
      <w:r>
        <w:t>与供</w:t>
      </w:r>
      <w:r>
        <w:rPr>
          <w:rFonts w:hint="eastAsia"/>
          <w:lang w:eastAsia="zh-CN"/>
        </w:rPr>
        <w:t>方</w:t>
      </w:r>
      <w:r>
        <w:t>坚持“相互尊重、平等互利、合作共赢”的准则，积极构建与供</w:t>
      </w:r>
      <w:r>
        <w:rPr>
          <w:rFonts w:hint="eastAsia"/>
          <w:lang w:eastAsia="zh-CN"/>
        </w:rPr>
        <w:t>方</w:t>
      </w:r>
      <w:r>
        <w:t>的战略合作伙伴关系，共同构筑信任与发展的平台。</w:t>
      </w:r>
      <w:r>
        <w:br w:type="textWrapping"/>
      </w:r>
      <w:r>
        <w:rPr>
          <w:b/>
        </w:rPr>
        <w:t>1. </w:t>
      </w:r>
      <w:r>
        <w:rPr>
          <w:rFonts w:hint="eastAsia"/>
          <w:b/>
          <w:lang w:eastAsia="zh-CN"/>
        </w:rPr>
        <w:t>供方控制管理</w:t>
      </w:r>
      <w:r>
        <w:br w:type="textWrapping"/>
      </w:r>
      <w:r>
        <w:rPr>
          <w:rFonts w:hint="eastAsia"/>
          <w:lang w:val="en-US" w:eastAsia="zh-CN"/>
        </w:rPr>
        <w:t xml:space="preserve">    </w:t>
      </w:r>
      <w:r>
        <w:t>为规范供应商的选择、评价与管理，消除供应</w:t>
      </w:r>
      <w:r>
        <w:rPr>
          <w:rFonts w:hint="eastAsia"/>
          <w:lang w:eastAsia="zh-CN"/>
        </w:rPr>
        <w:t>原材料</w:t>
      </w:r>
      <w:r>
        <w:t>的不安全隐患，本公司制定《</w:t>
      </w:r>
      <w:r>
        <w:rPr>
          <w:rFonts w:hint="eastAsia"/>
          <w:lang w:val="en-US" w:eastAsia="zh-CN"/>
        </w:rPr>
        <w:t>供应商评价</w:t>
      </w:r>
      <w:r>
        <w:rPr>
          <w:rFonts w:hint="eastAsia"/>
        </w:rPr>
        <w:t>程序</w:t>
      </w:r>
      <w:r>
        <w:t>》</w:t>
      </w:r>
      <w:r>
        <w:rPr>
          <w:rFonts w:hint="eastAsia"/>
          <w:lang w:val="en-US" w:eastAsia="zh-CN"/>
        </w:rPr>
        <w:t>和</w:t>
      </w:r>
      <w:r>
        <w:t>《</w:t>
      </w:r>
      <w:r>
        <w:rPr>
          <w:rFonts w:hint="eastAsia"/>
          <w:lang w:val="en-US" w:eastAsia="zh-CN"/>
        </w:rPr>
        <w:t>采购控制</w:t>
      </w:r>
      <w:r>
        <w:rPr>
          <w:rFonts w:hint="eastAsia"/>
        </w:rPr>
        <w:t>程序</w:t>
      </w:r>
      <w:r>
        <w:t>》</w:t>
      </w:r>
      <w:r>
        <w:rPr>
          <w:rFonts w:hint="eastAsia"/>
        </w:rPr>
        <w:t>，根据</w:t>
      </w:r>
      <w:r>
        <w:rPr>
          <w:rFonts w:hint="eastAsia"/>
          <w:lang w:eastAsia="zh-CN"/>
        </w:rPr>
        <w:t>公司对</w:t>
      </w:r>
      <w:r>
        <w:rPr>
          <w:rFonts w:hint="eastAsia"/>
        </w:rPr>
        <w:t>外部供方</w:t>
      </w:r>
      <w:r>
        <w:rPr>
          <w:rFonts w:hint="eastAsia"/>
          <w:lang w:eastAsia="zh-CN"/>
        </w:rPr>
        <w:t>的实际要求</w:t>
      </w:r>
      <w:r>
        <w:rPr>
          <w:rFonts w:hint="eastAsia"/>
        </w:rPr>
        <w:t>，制定外部供方的评价、选择、绩效监视以及重新评价的准则。</w:t>
      </w:r>
    </w:p>
    <w:p>
      <w:pPr>
        <w:numPr>
          <w:ilvl w:val="0"/>
          <w:numId w:val="0"/>
        </w:numPr>
        <w:rPr>
          <w:rFonts w:hint="default" w:eastAsia="楷体"/>
          <w:lang w:val="en-US" w:eastAsia="zh-CN"/>
        </w:rPr>
      </w:pPr>
      <w:r>
        <w:rPr>
          <w:rFonts w:hint="eastAsia"/>
          <w:b/>
          <w:lang w:val="en-US" w:eastAsia="zh-CN"/>
        </w:rPr>
        <w:t>2.</w:t>
      </w:r>
      <w:r>
        <w:rPr>
          <w:rFonts w:hint="eastAsia"/>
          <w:b/>
          <w:lang w:eastAsia="zh-CN"/>
        </w:rPr>
        <w:t>供方</w:t>
      </w:r>
      <w:r>
        <w:rPr>
          <w:b/>
        </w:rPr>
        <w:t>开发、评价与选择</w:t>
      </w:r>
      <w:r>
        <w:br w:type="textWrapping"/>
      </w:r>
      <w:r>
        <w:rPr>
          <w:rFonts w:hint="eastAsia"/>
        </w:rPr>
        <w:t xml:space="preserve">    </w:t>
      </w:r>
      <w:r>
        <w:rPr>
          <w:rFonts w:hint="eastAsia"/>
          <w:lang w:eastAsia="zh-CN"/>
        </w:rPr>
        <w:t>公司在进行采购时，</w:t>
      </w:r>
      <w:r>
        <w:rPr>
          <w:rFonts w:hint="eastAsia"/>
          <w:lang w:val="en-US" w:eastAsia="zh-CN"/>
        </w:rPr>
        <w:t>对于新供应商，主要从以下几个方面进行审核：品质管理、质量体系、交货期、价格、贡献业绩等。</w:t>
      </w:r>
    </w:p>
    <w:p>
      <w:pPr>
        <w:pStyle w:val="3"/>
        <w:spacing w:before="0" w:after="0" w:line="360" w:lineRule="auto"/>
        <w:ind w:firstLine="0" w:firstLineChars="0"/>
        <w:rPr>
          <w:sz w:val="28"/>
          <w:szCs w:val="28"/>
        </w:rPr>
      </w:pPr>
      <w:bookmarkStart w:id="4" w:name="_Toc23856"/>
      <w:r>
        <w:rPr>
          <w:rFonts w:hint="eastAsia"/>
          <w:sz w:val="28"/>
          <w:szCs w:val="28"/>
        </w:rPr>
        <w:t xml:space="preserve">第四章 </w:t>
      </w:r>
      <w:r>
        <w:rPr>
          <w:sz w:val="28"/>
          <w:szCs w:val="28"/>
        </w:rPr>
        <w:t>客户权益维护及产品质量控制</w:t>
      </w:r>
      <w:bookmarkEnd w:id="4"/>
    </w:p>
    <w:p>
      <w:pPr>
        <w:ind w:firstLine="480"/>
      </w:pPr>
      <w:r>
        <w:rPr>
          <w:rFonts w:hint="eastAsia" w:cs="Times New Roman"/>
          <w:lang w:val="en-US" w:eastAsia="zh-CN"/>
        </w:rPr>
        <w:t>锦湖轮胎（天津）有限公司</w:t>
      </w:r>
      <w:r>
        <w:rPr>
          <w:rFonts w:hint="eastAsia"/>
        </w:rPr>
        <w:t>始终以诚信为本，为客户提供优质的产品并不断提升服务品质，切实维护客户的合法权益。</w:t>
      </w:r>
    </w:p>
    <w:p>
      <w:pPr>
        <w:ind w:firstLine="480"/>
        <w:rPr>
          <w:rFonts w:cs="Times New Roman"/>
        </w:rPr>
      </w:pPr>
      <w:r>
        <w:rPr>
          <w:rFonts w:hint="eastAsia" w:cs="Times New Roman"/>
          <w:lang w:val="en-US" w:eastAsia="zh-CN"/>
        </w:rPr>
        <w:t>公司</w:t>
      </w:r>
      <w:r>
        <w:rPr>
          <w:rFonts w:cs="Times New Roman"/>
        </w:rPr>
        <w:t>建立</w:t>
      </w:r>
      <w:r>
        <w:rPr>
          <w:rFonts w:hint="eastAsia" w:cs="Times New Roman"/>
          <w:lang w:eastAsia="zh-CN"/>
        </w:rPr>
        <w:t>有</w:t>
      </w:r>
      <w:r>
        <w:rPr>
          <w:rFonts w:cs="Times New Roman"/>
        </w:rPr>
        <w:t>质量、环境</w:t>
      </w:r>
      <w:r>
        <w:rPr>
          <w:rFonts w:hint="eastAsia" w:cs="Times New Roman"/>
        </w:rPr>
        <w:t>、</w:t>
      </w:r>
      <w:r>
        <w:rPr>
          <w:rFonts w:cs="Times New Roman"/>
        </w:rPr>
        <w:t>职业健康</w:t>
      </w:r>
      <w:r>
        <w:rPr>
          <w:rFonts w:hint="eastAsia" w:cs="Times New Roman"/>
          <w:lang w:eastAsia="zh-CN"/>
        </w:rPr>
        <w:t>及</w:t>
      </w:r>
      <w:r>
        <w:rPr>
          <w:rFonts w:cs="Times New Roman"/>
        </w:rPr>
        <w:t>能源管理体系，定期开展内审和管理评审，并按照要求进行监督审核。</w:t>
      </w:r>
    </w:p>
    <w:p>
      <w:pPr>
        <w:ind w:firstLine="0" w:firstLineChars="0"/>
      </w:pPr>
      <w:r>
        <w:rPr>
          <w:rFonts w:hint="eastAsia" w:cs="Times New Roman"/>
          <w:b/>
        </w:rPr>
        <w:t>1</w:t>
      </w:r>
      <w:r>
        <w:rPr>
          <w:rFonts w:cs="Times New Roman"/>
          <w:b/>
        </w:rPr>
        <w:t>. 质量管理体系</w:t>
      </w:r>
    </w:p>
    <w:p>
      <w:pPr>
        <w:ind w:firstLine="480"/>
      </w:pPr>
      <w:r>
        <w:t>本公司</w:t>
      </w:r>
      <w:r>
        <w:rPr>
          <w:rFonts w:hint="eastAsia"/>
          <w:lang w:eastAsia="zh-CN"/>
        </w:rPr>
        <w:t>始终遵循既定的</w:t>
      </w:r>
      <w:r>
        <w:t>质量方针，</w:t>
      </w:r>
      <w:r>
        <w:rPr>
          <w:rFonts w:hint="eastAsia"/>
          <w:lang w:eastAsia="zh-CN"/>
        </w:rPr>
        <w:t>质量管理体系</w:t>
      </w:r>
      <w:r>
        <w:t>明确产品的质量目标和要求，文件和资源的</w:t>
      </w:r>
      <w:r>
        <w:rPr>
          <w:rFonts w:hint="eastAsia"/>
          <w:lang w:eastAsia="zh-CN"/>
        </w:rPr>
        <w:t>管理要</w:t>
      </w:r>
      <w:r>
        <w:t>求，过程</w:t>
      </w:r>
      <w:r>
        <w:rPr>
          <w:rFonts w:hint="eastAsia"/>
          <w:lang w:eastAsia="zh-CN"/>
        </w:rPr>
        <w:t>管理</w:t>
      </w:r>
      <w:r>
        <w:t>和服务监视测量以及</w:t>
      </w:r>
      <w:r>
        <w:rPr>
          <w:rFonts w:hint="eastAsia"/>
          <w:lang w:eastAsia="zh-CN"/>
        </w:rPr>
        <w:t>材料</w:t>
      </w:r>
      <w:r>
        <w:t>接收准则。确保能够按照策划的要求对产品生产过程以及</w:t>
      </w:r>
      <w:r>
        <w:rPr>
          <w:rFonts w:hint="eastAsia"/>
          <w:lang w:eastAsia="zh-CN"/>
        </w:rPr>
        <w:t>外供方供货</w:t>
      </w:r>
      <w:r>
        <w:t>过程进行有效控制。</w:t>
      </w:r>
    </w:p>
    <w:p>
      <w:pPr>
        <w:ind w:firstLine="480"/>
        <w:rPr>
          <w:b/>
        </w:rPr>
      </w:pPr>
    </w:p>
    <w:p>
      <w:pPr>
        <w:ind w:firstLine="0" w:firstLineChars="0"/>
        <w:rPr>
          <w:b/>
        </w:rPr>
      </w:pPr>
      <w:r>
        <w:rPr>
          <w:rFonts w:hint="eastAsia"/>
          <w:b/>
          <w:lang w:val="en-US" w:eastAsia="zh-CN"/>
        </w:rPr>
        <w:t>2</w:t>
      </w:r>
      <w:r>
        <w:rPr>
          <w:b/>
        </w:rPr>
        <w:t xml:space="preserve">. </w:t>
      </w:r>
      <w:r>
        <w:rPr>
          <w:rFonts w:hint="eastAsia"/>
          <w:b/>
        </w:rPr>
        <w:t>能源</w:t>
      </w:r>
      <w:r>
        <w:rPr>
          <w:b/>
        </w:rPr>
        <w:t>管理体系</w:t>
      </w:r>
    </w:p>
    <w:p>
      <w:pPr>
        <w:ind w:firstLine="480" w:firstLineChars="0"/>
        <w:rPr>
          <w:rFonts w:hint="eastAsia"/>
          <w:lang w:val="zh-CN"/>
        </w:rPr>
      </w:pPr>
      <w:r>
        <w:t>本公司建立</w:t>
      </w:r>
      <w:r>
        <w:rPr>
          <w:rFonts w:hint="eastAsia"/>
        </w:rPr>
        <w:t>能源管理</w:t>
      </w:r>
      <w:r>
        <w:t>体系，</w:t>
      </w:r>
      <w:r>
        <w:rPr>
          <w:lang w:val="zh-CN"/>
        </w:rPr>
        <w:t>确定公司能源管理方针</w:t>
      </w:r>
      <w:r>
        <w:rPr>
          <w:rFonts w:hint="eastAsia"/>
          <w:lang w:val="zh-CN"/>
        </w:rPr>
        <w:t>、</w:t>
      </w:r>
      <w:r>
        <w:rPr>
          <w:lang w:val="zh-CN"/>
        </w:rPr>
        <w:t>能源</w:t>
      </w:r>
      <w:r>
        <w:rPr>
          <w:rFonts w:hint="eastAsia"/>
          <w:lang w:val="en-US" w:eastAsia="zh-CN"/>
        </w:rPr>
        <w:t>目标与指标</w:t>
      </w:r>
      <w:r>
        <w:rPr>
          <w:rFonts w:hint="eastAsia"/>
        </w:rPr>
        <w:t>，</w:t>
      </w:r>
      <w:r>
        <w:t>并在相应职能</w:t>
      </w:r>
      <w:r>
        <w:rPr>
          <w:rFonts w:hint="eastAsia"/>
          <w:lang w:eastAsia="zh-CN"/>
        </w:rPr>
        <w:t>岗位</w:t>
      </w:r>
      <w:r>
        <w:t>和层次上进行分解</w:t>
      </w:r>
      <w:r>
        <w:rPr>
          <w:rFonts w:hint="eastAsia"/>
        </w:rPr>
        <w:t>，</w:t>
      </w:r>
      <w:r>
        <w:rPr>
          <w:rFonts w:hint="eastAsia"/>
          <w:lang w:eastAsia="zh-CN"/>
        </w:rPr>
        <w:t>严格</w:t>
      </w:r>
      <w:r>
        <w:rPr>
          <w:lang w:val="zh-CN"/>
        </w:rPr>
        <w:t>控制</w:t>
      </w:r>
      <w:r>
        <w:rPr>
          <w:rFonts w:hint="eastAsia"/>
          <w:lang w:val="zh-CN"/>
        </w:rPr>
        <w:t>公司</w:t>
      </w:r>
      <w:r>
        <w:rPr>
          <w:lang w:val="zh-CN"/>
        </w:rPr>
        <w:t>活动、产品和服务对能源绩效的影响，采用系统的方法来实现能源目标</w:t>
      </w:r>
      <w:r>
        <w:rPr>
          <w:rFonts w:hint="eastAsia"/>
          <w:lang w:val="zh-CN"/>
        </w:rPr>
        <w:t>与指标</w:t>
      </w:r>
      <w:r>
        <w:rPr>
          <w:lang w:val="zh-CN"/>
        </w:rPr>
        <w:t>，包括</w:t>
      </w:r>
      <w:r>
        <w:rPr>
          <w:rFonts w:hint="eastAsia" w:ascii="宋体" w:hAnsi="宋体"/>
          <w:snapToGrid w:val="0"/>
          <w:sz w:val="24"/>
          <w:szCs w:val="24"/>
        </w:rPr>
        <w:t>能源效率、能源使用和能源消耗</w:t>
      </w:r>
      <w:r>
        <w:rPr>
          <w:lang w:val="zh-CN"/>
        </w:rPr>
        <w:t>的持续改进</w:t>
      </w:r>
      <w:r>
        <w:rPr>
          <w:rFonts w:hint="eastAsia"/>
          <w:lang w:val="zh-CN"/>
        </w:rPr>
        <w:t>。</w:t>
      </w:r>
    </w:p>
    <w:p>
      <w:pPr>
        <w:ind w:firstLine="0" w:firstLineChars="0"/>
        <w:rPr>
          <w:b/>
        </w:rPr>
      </w:pPr>
      <w:r>
        <w:rPr>
          <w:rFonts w:hint="eastAsia"/>
          <w:b/>
          <w:lang w:val="en-US" w:eastAsia="zh-CN"/>
        </w:rPr>
        <w:t>3</w:t>
      </w:r>
      <w:r>
        <w:rPr>
          <w:b/>
        </w:rPr>
        <w:t>. 环境管理体系</w:t>
      </w:r>
    </w:p>
    <w:p>
      <w:pPr>
        <w:ind w:firstLine="480"/>
        <w:rPr>
          <w:rFonts w:cs="Times New Roman"/>
        </w:rPr>
      </w:pPr>
      <w:r>
        <w:rPr>
          <w:rFonts w:hint="eastAsia" w:cs="Times New Roman"/>
        </w:rPr>
        <w:t>公司</w:t>
      </w:r>
      <w:r>
        <w:rPr>
          <w:rFonts w:hint="eastAsia" w:cs="Times New Roman"/>
          <w:lang w:eastAsia="zh-CN"/>
        </w:rPr>
        <w:t>高度认同</w:t>
      </w:r>
      <w:r>
        <w:rPr>
          <w:rFonts w:hint="eastAsia" w:cs="Times New Roman"/>
        </w:rPr>
        <w:t>持续</w:t>
      </w:r>
      <w:r>
        <w:rPr>
          <w:rFonts w:hint="eastAsia" w:cs="Times New Roman"/>
          <w:lang w:eastAsia="zh-CN"/>
        </w:rPr>
        <w:t>经营</w:t>
      </w:r>
      <w:r>
        <w:rPr>
          <w:rFonts w:hint="eastAsia" w:cs="Times New Roman"/>
        </w:rPr>
        <w:t>管理的价值和必要性，</w:t>
      </w:r>
      <w:r>
        <w:rPr>
          <w:rFonts w:hint="eastAsia" w:cs="Times New Roman"/>
          <w:lang w:eastAsia="zh-CN"/>
        </w:rPr>
        <w:t>我们要为企业提供充足的物质发展基础</w:t>
      </w:r>
      <w:r>
        <w:rPr>
          <w:rFonts w:hint="eastAsia" w:cs="Times New Roman"/>
        </w:rPr>
        <w:t>，</w:t>
      </w:r>
      <w:r>
        <w:rPr>
          <w:rFonts w:hint="eastAsia" w:cs="Times New Roman"/>
          <w:lang w:eastAsia="zh-CN"/>
        </w:rPr>
        <w:t>同时不能贻害</w:t>
      </w:r>
      <w:r>
        <w:rPr>
          <w:rFonts w:hint="eastAsia" w:cs="Times New Roman"/>
        </w:rPr>
        <w:t>后代</w:t>
      </w:r>
      <w:r>
        <w:rPr>
          <w:rFonts w:hint="eastAsia" w:cs="Times New Roman"/>
          <w:lang w:eastAsia="zh-CN"/>
        </w:rPr>
        <w:t>子孙</w:t>
      </w:r>
      <w:r>
        <w:rPr>
          <w:rFonts w:hint="eastAsia" w:cs="Times New Roman"/>
        </w:rPr>
        <w:t>，</w:t>
      </w:r>
      <w:r>
        <w:rPr>
          <w:rFonts w:hint="eastAsia" w:cs="Times New Roman"/>
          <w:lang w:eastAsia="zh-CN"/>
        </w:rPr>
        <w:t>要让他们</w:t>
      </w:r>
      <w:r>
        <w:rPr>
          <w:rFonts w:hint="eastAsia" w:cs="Times New Roman"/>
        </w:rPr>
        <w:t>能够享受我们今天同等的</w:t>
      </w:r>
      <w:r>
        <w:rPr>
          <w:rFonts w:hint="eastAsia" w:cs="Times New Roman"/>
          <w:lang w:eastAsia="zh-CN"/>
        </w:rPr>
        <w:t>物质</w:t>
      </w:r>
      <w:r>
        <w:rPr>
          <w:rFonts w:hint="eastAsia" w:cs="Times New Roman"/>
        </w:rPr>
        <w:t>资源。我们承诺，</w:t>
      </w:r>
      <w:r>
        <w:rPr>
          <w:rFonts w:hint="eastAsia" w:cs="Times New Roman"/>
          <w:lang w:eastAsia="zh-CN"/>
        </w:rPr>
        <w:t>尽量减少对环境的影响</w:t>
      </w:r>
      <w:r>
        <w:rPr>
          <w:rFonts w:hint="eastAsia" w:cs="Times New Roman"/>
        </w:rPr>
        <w:t>。</w:t>
      </w:r>
    </w:p>
    <w:p>
      <w:pPr>
        <w:ind w:firstLine="0" w:firstLineChars="0"/>
        <w:rPr>
          <w:b/>
        </w:rPr>
      </w:pPr>
      <w:r>
        <w:rPr>
          <w:rFonts w:hint="eastAsia"/>
          <w:b/>
          <w:lang w:val="en-US" w:eastAsia="zh-CN"/>
        </w:rPr>
        <w:t>4.</w:t>
      </w:r>
      <w:r>
        <w:rPr>
          <w:b/>
        </w:rPr>
        <w:t>职业健康安全管理体系</w:t>
      </w:r>
    </w:p>
    <w:p>
      <w:pPr>
        <w:ind w:firstLine="480"/>
        <w:rPr>
          <w:rFonts w:hint="eastAsia" w:cs="Times New Roman"/>
        </w:rPr>
      </w:pPr>
      <w:r>
        <w:rPr>
          <w:rFonts w:hint="eastAsia" w:cs="Times New Roman"/>
        </w:rPr>
        <w:t>公司竭力</w:t>
      </w:r>
      <w:r>
        <w:rPr>
          <w:rFonts w:hint="eastAsia" w:cs="Times New Roman"/>
          <w:lang w:eastAsia="zh-CN"/>
        </w:rPr>
        <w:t>为</w:t>
      </w:r>
      <w:r>
        <w:rPr>
          <w:rFonts w:hint="eastAsia" w:cs="Times New Roman"/>
        </w:rPr>
        <w:t>所有员工提供一个安全的工作环境，</w:t>
      </w:r>
      <w:r>
        <w:rPr>
          <w:rFonts w:hint="eastAsia" w:cs="Times New Roman"/>
          <w:lang w:eastAsia="zh-CN"/>
        </w:rPr>
        <w:t>使</w:t>
      </w:r>
      <w:r>
        <w:rPr>
          <w:rFonts w:hint="eastAsia" w:cs="Times New Roman"/>
        </w:rPr>
        <w:t>员工免受</w:t>
      </w:r>
      <w:r>
        <w:rPr>
          <w:rFonts w:hint="eastAsia" w:cs="Times New Roman"/>
          <w:lang w:eastAsia="zh-CN"/>
        </w:rPr>
        <w:t>来自工作上的</w:t>
      </w:r>
      <w:r>
        <w:rPr>
          <w:rFonts w:hint="eastAsia" w:cs="Times New Roman"/>
        </w:rPr>
        <w:t>伤害、</w:t>
      </w:r>
      <w:r>
        <w:rPr>
          <w:rFonts w:hint="eastAsia" w:cs="Times New Roman"/>
          <w:lang w:eastAsia="zh-CN"/>
        </w:rPr>
        <w:t>降低</w:t>
      </w:r>
      <w:r>
        <w:rPr>
          <w:rFonts w:hint="eastAsia" w:cs="Times New Roman"/>
        </w:rPr>
        <w:t>员工患职业病</w:t>
      </w:r>
      <w:r>
        <w:rPr>
          <w:rFonts w:hint="eastAsia" w:cs="Times New Roman"/>
          <w:lang w:eastAsia="zh-CN"/>
        </w:rPr>
        <w:t>的概率。</w:t>
      </w:r>
      <w:r>
        <w:rPr>
          <w:rFonts w:hint="eastAsia" w:cs="Times New Roman"/>
        </w:rPr>
        <w:t>公司建立相应的职业健康和安全保护措施、制度和程序</w:t>
      </w:r>
      <w:r>
        <w:rPr>
          <w:rFonts w:hint="eastAsia" w:cs="Times New Roman"/>
          <w:lang w:eastAsia="zh-CN"/>
        </w:rPr>
        <w:t>，办公室</w:t>
      </w:r>
      <w:r>
        <w:rPr>
          <w:rFonts w:hint="eastAsia" w:cs="Times New Roman"/>
        </w:rPr>
        <w:t>负责员工健康安全的</w:t>
      </w:r>
      <w:r>
        <w:rPr>
          <w:rFonts w:hint="eastAsia" w:cs="Times New Roman"/>
          <w:lang w:eastAsia="zh-CN"/>
        </w:rPr>
        <w:t>培训管理</w:t>
      </w:r>
      <w:r>
        <w:rPr>
          <w:rFonts w:hint="eastAsia" w:cs="Times New Roman"/>
        </w:rPr>
        <w:t>工作；并</w:t>
      </w:r>
      <w:r>
        <w:rPr>
          <w:rFonts w:hint="eastAsia" w:cs="Times New Roman"/>
          <w:lang w:eastAsia="zh-CN"/>
        </w:rPr>
        <w:t>对</w:t>
      </w:r>
      <w:r>
        <w:rPr>
          <w:rFonts w:hint="eastAsia" w:cs="Times New Roman"/>
        </w:rPr>
        <w:t>工作区域内涉及员工安全与健康的危害</w:t>
      </w:r>
      <w:r>
        <w:rPr>
          <w:rFonts w:hint="eastAsia" w:cs="Times New Roman"/>
          <w:lang w:eastAsia="zh-CN"/>
        </w:rPr>
        <w:t>点进行监控</w:t>
      </w:r>
      <w:r>
        <w:rPr>
          <w:rFonts w:hint="eastAsia" w:cs="Times New Roman"/>
        </w:rPr>
        <w:t>；</w:t>
      </w:r>
    </w:p>
    <w:p>
      <w:pPr>
        <w:ind w:firstLine="480"/>
        <w:rPr>
          <w:rFonts w:hint="eastAsia" w:cs="Times New Roman"/>
          <w:lang w:eastAsia="zh-CN"/>
        </w:rPr>
      </w:pPr>
      <w:r>
        <w:rPr>
          <w:rFonts w:hint="eastAsia" w:cs="Times New Roman"/>
          <w:lang w:eastAsia="zh-CN"/>
        </w:rPr>
        <w:t>公司努力保护每一位员工的健康安全，这</w:t>
      </w:r>
      <w:r>
        <w:rPr>
          <w:rFonts w:hint="eastAsia" w:cs="Times New Roman"/>
        </w:rPr>
        <w:t>是员工应</w:t>
      </w:r>
      <w:r>
        <w:rPr>
          <w:rFonts w:hint="eastAsia" w:cs="Times New Roman"/>
          <w:lang w:eastAsia="zh-CN"/>
        </w:rPr>
        <w:t>得</w:t>
      </w:r>
      <w:r>
        <w:rPr>
          <w:rFonts w:hint="eastAsia" w:cs="Times New Roman"/>
        </w:rPr>
        <w:t>的</w:t>
      </w:r>
      <w:r>
        <w:rPr>
          <w:rFonts w:hint="eastAsia" w:cs="Times New Roman"/>
          <w:lang w:eastAsia="zh-CN"/>
        </w:rPr>
        <w:t>权利；同时遵守</w:t>
      </w:r>
      <w:r>
        <w:rPr>
          <w:rFonts w:hint="eastAsia" w:cs="Times New Roman"/>
        </w:rPr>
        <w:t>健康安全</w:t>
      </w:r>
      <w:r>
        <w:rPr>
          <w:rFonts w:hint="eastAsia" w:cs="Times New Roman"/>
          <w:lang w:eastAsia="zh-CN"/>
        </w:rPr>
        <w:t>相关</w:t>
      </w:r>
      <w:r>
        <w:rPr>
          <w:rFonts w:hint="eastAsia" w:cs="Times New Roman"/>
        </w:rPr>
        <w:t>制度</w:t>
      </w:r>
      <w:r>
        <w:rPr>
          <w:rFonts w:hint="eastAsia" w:cs="Times New Roman"/>
          <w:lang w:eastAsia="zh-CN"/>
        </w:rPr>
        <w:t>也是每个员工应尽的义务，这也体现了员工对企业负责的态度。所以公司鼓励每个员工为自己的健康负责，严格按照职业健康安全管理体系的要求执行。</w:t>
      </w:r>
    </w:p>
    <w:p>
      <w:pPr>
        <w:pStyle w:val="3"/>
        <w:spacing w:before="0" w:after="0" w:line="360" w:lineRule="auto"/>
        <w:ind w:firstLine="0" w:firstLineChars="0"/>
        <w:rPr>
          <w:sz w:val="28"/>
          <w:szCs w:val="28"/>
        </w:rPr>
      </w:pPr>
      <w:bookmarkStart w:id="5" w:name="_Toc11603"/>
      <w:r>
        <w:rPr>
          <w:rFonts w:hint="eastAsia"/>
          <w:sz w:val="28"/>
          <w:szCs w:val="28"/>
        </w:rPr>
        <w:t xml:space="preserve">第五章 </w:t>
      </w:r>
      <w:r>
        <w:rPr>
          <w:sz w:val="28"/>
          <w:szCs w:val="28"/>
        </w:rPr>
        <w:t>环境保护和可持续发展</w:t>
      </w:r>
      <w:bookmarkEnd w:id="5"/>
    </w:p>
    <w:p>
      <w:pPr>
        <w:ind w:firstLine="480"/>
        <w:rPr>
          <w:rFonts w:cs="Times New Roman"/>
        </w:rPr>
      </w:pPr>
      <w:r>
        <w:rPr>
          <w:rFonts w:hint="eastAsia"/>
        </w:rPr>
        <w:t>环境保护和节能减排是</w:t>
      </w:r>
      <w:r>
        <w:rPr>
          <w:rFonts w:hint="eastAsia"/>
          <w:lang w:val="en-US" w:eastAsia="zh-CN"/>
        </w:rPr>
        <w:t>锦湖轮胎（天津）公司</w:t>
      </w:r>
      <w:r>
        <w:rPr>
          <w:rFonts w:hint="eastAsia"/>
        </w:rPr>
        <w:t>可持续发展的重要内容，</w:t>
      </w:r>
      <w:r>
        <w:rPr>
          <w:rFonts w:hint="eastAsia" w:cs="Times New Roman"/>
          <w:lang w:val="en-US" w:eastAsia="zh-CN"/>
        </w:rPr>
        <w:t>公司</w:t>
      </w:r>
      <w:r>
        <w:rPr>
          <w:rFonts w:cs="Times New Roman"/>
        </w:rPr>
        <w:t>积极响应国家关于建设环境友好型</w:t>
      </w:r>
      <w:r>
        <w:rPr>
          <w:rFonts w:hint="eastAsia" w:cs="Times New Roman"/>
        </w:rPr>
        <w:t>、</w:t>
      </w:r>
      <w:r>
        <w:rPr>
          <w:rFonts w:cs="Times New Roman"/>
        </w:rPr>
        <w:t>资源节约型社会的号召</w:t>
      </w:r>
      <w:r>
        <w:rPr>
          <w:rFonts w:hint="eastAsia" w:cs="Times New Roman"/>
        </w:rPr>
        <w:t>，</w:t>
      </w:r>
      <w:r>
        <w:rPr>
          <w:rFonts w:cs="Times New Roman"/>
        </w:rPr>
        <w:t>不断推进节能减排</w:t>
      </w:r>
      <w:r>
        <w:rPr>
          <w:rFonts w:hint="eastAsia" w:cs="Times New Roman"/>
        </w:rPr>
        <w:t>，</w:t>
      </w:r>
      <w:r>
        <w:rPr>
          <w:rFonts w:cs="Times New Roman"/>
        </w:rPr>
        <w:t>倡导绿色低碳生活</w:t>
      </w:r>
      <w:r>
        <w:rPr>
          <w:rFonts w:hint="eastAsia" w:cs="Times New Roman"/>
        </w:rPr>
        <w:t>，加大</w:t>
      </w:r>
      <w:r>
        <w:rPr>
          <w:rFonts w:cs="Times New Roman"/>
        </w:rPr>
        <w:t>环境风险整治及防控力度</w:t>
      </w:r>
      <w:r>
        <w:rPr>
          <w:rFonts w:hint="eastAsia" w:cs="Times New Roman"/>
        </w:rPr>
        <w:t>，</w:t>
      </w:r>
      <w:r>
        <w:rPr>
          <w:rFonts w:cs="Times New Roman"/>
        </w:rPr>
        <w:t>开展绿色工厂建设</w:t>
      </w:r>
      <w:r>
        <w:rPr>
          <w:rFonts w:hint="eastAsia" w:cs="Times New Roman"/>
        </w:rPr>
        <w:t>。</w:t>
      </w:r>
      <w:r>
        <w:rPr>
          <w:rFonts w:cs="Times New Roman"/>
        </w:rPr>
        <w:t>同时</w:t>
      </w:r>
      <w:r>
        <w:rPr>
          <w:rFonts w:hint="eastAsia" w:cs="Times New Roman"/>
        </w:rPr>
        <w:t>，</w:t>
      </w:r>
      <w:r>
        <w:rPr>
          <w:rFonts w:cs="Times New Roman"/>
        </w:rPr>
        <w:t>加快推进落实各项环保治理措施，严格控制生产过程中产生的污染物</w:t>
      </w:r>
      <w:r>
        <w:rPr>
          <w:rFonts w:hint="eastAsia" w:cs="Times New Roman"/>
        </w:rPr>
        <w:t>，</w:t>
      </w:r>
      <w:r>
        <w:rPr>
          <w:rFonts w:cs="Times New Roman"/>
        </w:rPr>
        <w:t>取得了良好的经济效益和社会效益。</w:t>
      </w:r>
    </w:p>
    <w:p>
      <w:pPr>
        <w:adjustRightInd w:val="0"/>
        <w:snapToGrid w:val="0"/>
        <w:spacing w:line="360" w:lineRule="auto"/>
        <w:ind w:firstLine="480" w:firstLineChars="200"/>
        <w:rPr>
          <w:rFonts w:hint="eastAsia" w:cs="Times New Roman"/>
          <w:lang w:val="en-US" w:eastAsia="zh-CN"/>
        </w:rPr>
      </w:pPr>
      <w:r>
        <w:rPr>
          <w:rFonts w:cs="Times New Roman"/>
        </w:rPr>
        <w:t>公司主要产品是</w:t>
      </w:r>
      <w:r>
        <w:rPr>
          <w:rFonts w:hint="eastAsia" w:cs="Times New Roman"/>
          <w:lang w:val="en-US" w:eastAsia="zh-CN"/>
        </w:rPr>
        <w:t>汽车用子午线轮胎</w:t>
      </w:r>
      <w:r>
        <w:rPr>
          <w:rFonts w:cs="Times New Roman"/>
        </w:rPr>
        <w:t>，</w:t>
      </w:r>
      <w:r>
        <w:rPr>
          <w:rFonts w:hint="eastAsia" w:cs="Times New Roman"/>
          <w:lang w:val="en-US" w:eastAsia="zh-CN"/>
        </w:rPr>
        <w:t xml:space="preserve">生产工序主要分为：炼胶、轮胎制造、检验三阶段。具体有密炼，压出、压延、裁断、胎圈、成型、硫化、检查8个工序。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ind w:left="0" w:leftChars="0" w:firstLine="0" w:firstLineChars="0"/>
      </w:pPr>
    </w:p>
    <w:p>
      <w:pPr>
        <w:ind w:left="0" w:leftChars="0" w:firstLine="0" w:firstLineChars="0"/>
        <w:jc w:val="center"/>
      </w:pPr>
      <w:r>
        <w:rPr>
          <w:b/>
          <w:sz w:val="21"/>
          <w:szCs w:val="21"/>
        </w:rPr>
        <w:t>工艺流程图</w:t>
      </w:r>
    </w:p>
    <w:p>
      <w:pPr>
        <w:keepNext w:val="0"/>
        <w:keepLines w:val="0"/>
        <w:widowControl/>
        <w:suppressLineNumbers w:val="0"/>
        <w:ind w:left="0" w:leftChars="0" w:firstLine="0" w:firstLineChars="0"/>
        <w:jc w:val="left"/>
        <w:rPr>
          <w:rFonts w:hint="eastAsia" w:cs="Times New Roman"/>
          <w:lang w:val="en-US" w:eastAsia="zh-CN"/>
        </w:rPr>
      </w:pPr>
      <w:r>
        <w:drawing>
          <wp:inline distT="0" distB="0" distL="114300" distR="114300">
            <wp:extent cx="5041900" cy="4518025"/>
            <wp:effectExtent l="0" t="0" r="6350"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041900" cy="4518025"/>
                    </a:xfrm>
                    <a:prstGeom prst="rect">
                      <a:avLst/>
                    </a:prstGeom>
                    <a:noFill/>
                    <a:ln w="9525">
                      <a:noFill/>
                    </a:ln>
                  </pic:spPr>
                </pic:pic>
              </a:graphicData>
            </a:graphic>
          </wp:inline>
        </w:drawing>
      </w:r>
    </w:p>
    <w:p>
      <w:pPr>
        <w:keepNext w:val="0"/>
        <w:keepLines w:val="0"/>
        <w:widowControl/>
        <w:suppressLineNumbers w:val="0"/>
        <w:jc w:val="left"/>
        <w:rPr>
          <w:rFonts w:hint="eastAsia" w:cs="Times New Roman"/>
          <w:lang w:val="en-US" w:eastAsia="zh-CN"/>
        </w:rPr>
      </w:pPr>
      <w:r>
        <w:rPr>
          <w:rFonts w:hint="eastAsia" w:cs="Times New Roman"/>
          <w:lang w:val="en-US" w:eastAsia="zh-CN"/>
        </w:rPr>
        <w:t>主要产生的污染物是废气、废水和废弃物。</w:t>
      </w:r>
    </w:p>
    <w:p>
      <w:pPr>
        <w:keepNext w:val="0"/>
        <w:keepLines w:val="0"/>
        <w:widowControl/>
        <w:suppressLineNumbers w:val="0"/>
        <w:jc w:val="left"/>
        <w:rPr>
          <w:rFonts w:hint="eastAsia" w:cs="Times New Roman"/>
          <w:lang w:val="en-US" w:eastAsia="zh-CN"/>
        </w:rPr>
      </w:pPr>
      <w:r>
        <w:rPr>
          <w:rFonts w:hint="eastAsia" w:cs="Times New Roman"/>
          <w:lang w:val="en-US" w:eastAsia="zh-CN"/>
        </w:rPr>
        <w:t>公司生产工艺废气中主要为炼胶废气、硫化废气、炭黑解包机废气、轮胎毛刺打磨含尘废气以及药品称量及投料废气等，排放的污染物主要为VOCs、非甲烷总烃、颗粒物、臭气浓度、硫化氢。</w:t>
      </w:r>
    </w:p>
    <w:p>
      <w:pPr>
        <w:keepNext w:val="0"/>
        <w:keepLines w:val="0"/>
        <w:widowControl/>
        <w:suppressLineNumbers w:val="0"/>
        <w:jc w:val="left"/>
        <w:rPr>
          <w:rFonts w:hint="eastAsia" w:cs="Times New Roman"/>
          <w:lang w:val="en-US" w:eastAsia="zh-CN"/>
        </w:rPr>
      </w:pPr>
      <w:r>
        <w:rPr>
          <w:rFonts w:hint="eastAsia" w:cs="Times New Roman"/>
          <w:lang w:val="en-US" w:eastAsia="zh-CN"/>
        </w:rPr>
        <w:t>公司炼胶废气中的主要污染物有VOCs、非甲烷总烃、颗粒物及臭气浓度，炼胶废气治理设施采用“袋滤器+淋洗塔”和“等低温等离子+光化学”的两级净化装置，处理效率大大提升。硫化废气中的主要污染物有VOCs、非甲烷总烃，公司配备了低温等离子+光化学工艺的湿式VOCs治理设备，采用模块化设计，通过预处理模块、等离子净化模块、光化学模块、超微净化模块、机械除雾模块进行处理。</w:t>
      </w:r>
    </w:p>
    <w:p>
      <w:pPr>
        <w:keepNext w:val="0"/>
        <w:keepLines w:val="0"/>
        <w:widowControl/>
        <w:suppressLineNumbers w:val="0"/>
        <w:jc w:val="left"/>
        <w:rPr>
          <w:rFonts w:hint="eastAsia" w:cs="Times New Roman"/>
          <w:lang w:val="en-US" w:eastAsia="zh-CN"/>
        </w:rPr>
      </w:pPr>
      <w:r>
        <w:rPr>
          <w:rFonts w:hint="default" w:cs="Times New Roman"/>
          <w:lang w:val="en-US" w:eastAsia="zh-CN"/>
        </w:rPr>
        <w:t>公司废水主要分为工艺废水及生活污水，</w:t>
      </w:r>
      <w:r>
        <w:rPr>
          <w:rFonts w:hint="eastAsia" w:cs="Times New Roman"/>
          <w:lang w:val="en-US" w:eastAsia="zh-CN"/>
        </w:rPr>
        <w:t>主要污染物为COD、氨氮、石油类、悬浮物、硫化物等，该公司</w:t>
      </w:r>
      <w:r>
        <w:rPr>
          <w:rFonts w:hint="default" w:cs="Times New Roman"/>
          <w:lang w:val="en-US" w:eastAsia="zh-CN"/>
        </w:rPr>
        <w:t>废水直接排入厂内污水处理站处理，</w:t>
      </w:r>
      <w:r>
        <w:rPr>
          <w:rFonts w:hint="eastAsia" w:cs="Times New Roman"/>
          <w:lang w:val="en-US" w:eastAsia="zh-CN"/>
        </w:rPr>
        <w:t>污水处理设施完备，分为生产废水处理系统、生活废水处理系统和中水系统三个相互独立的处理系统。生活污水系统现处理能力为500m³</w:t>
      </w:r>
      <w:r>
        <w:rPr>
          <w:rFonts w:hint="default" w:cs="Times New Roman"/>
          <w:lang w:val="en-US" w:eastAsia="zh-CN"/>
        </w:rPr>
        <w:t>/d</w:t>
      </w:r>
      <w:r>
        <w:rPr>
          <w:rFonts w:hint="eastAsia" w:cs="Times New Roman"/>
          <w:lang w:val="en-US" w:eastAsia="zh-CN"/>
        </w:rPr>
        <w:t>，经过调节池、接触氧化池、沉砂池等处理工艺后中水处理系统后回用。生产废水汇入污水处理站生产废水处理系统单独处理，现处理能力为550m³</w:t>
      </w:r>
      <w:r>
        <w:rPr>
          <w:rFonts w:hint="default" w:cs="Times New Roman"/>
          <w:lang w:val="en-US" w:eastAsia="zh-CN"/>
        </w:rPr>
        <w:t>/d</w:t>
      </w:r>
      <w:r>
        <w:rPr>
          <w:rFonts w:hint="eastAsia" w:cs="Times New Roman"/>
          <w:lang w:val="en-US" w:eastAsia="zh-CN"/>
        </w:rPr>
        <w:t>，处理工艺为沉沙——调节池——凝结反应池——砂滤池——活性炭过滤器等工艺处理，</w:t>
      </w:r>
      <w:r>
        <w:rPr>
          <w:rFonts w:hint="default" w:cs="Times New Roman"/>
          <w:lang w:val="en-US" w:eastAsia="zh-CN"/>
        </w:rPr>
        <w:t>厂区污水排出口水质可达到《污水综合排放标准》</w:t>
      </w:r>
      <w:r>
        <w:rPr>
          <w:rFonts w:hint="eastAsia" w:cs="Times New Roman"/>
          <w:lang w:val="en-US" w:eastAsia="zh-CN"/>
        </w:rPr>
        <w:t>（</w:t>
      </w:r>
      <w:r>
        <w:rPr>
          <w:rFonts w:hint="default" w:cs="Times New Roman"/>
          <w:lang w:val="en-US" w:eastAsia="zh-CN"/>
        </w:rPr>
        <w:t>DB12/356-2018</w:t>
      </w:r>
      <w:r>
        <w:rPr>
          <w:rFonts w:hint="eastAsia" w:cs="Times New Roman"/>
          <w:lang w:val="en-US" w:eastAsia="zh-CN"/>
        </w:rPr>
        <w:t>）表2（</w:t>
      </w:r>
      <w:r>
        <w:rPr>
          <w:rFonts w:hint="default" w:cs="Times New Roman"/>
          <w:lang w:val="en-US" w:eastAsia="zh-CN"/>
        </w:rPr>
        <w:t>三级</w:t>
      </w:r>
      <w:r>
        <w:rPr>
          <w:rFonts w:hint="eastAsia" w:cs="Times New Roman"/>
          <w:lang w:val="en-US" w:eastAsia="zh-CN"/>
        </w:rPr>
        <w:t>）和《橡胶制品工业污染物排放标准》（GB27632-2011）表2“轮胎企业和其他制品企业”排放限值</w:t>
      </w:r>
      <w:r>
        <w:rPr>
          <w:rFonts w:hint="default" w:cs="Times New Roman"/>
          <w:lang w:val="en-US" w:eastAsia="zh-CN"/>
        </w:rPr>
        <w:t>标准要求，最终由市政污水管网排入</w:t>
      </w:r>
      <w:r>
        <w:rPr>
          <w:rFonts w:hint="eastAsia" w:cs="Times New Roman"/>
          <w:lang w:val="en-US" w:eastAsia="zh-CN"/>
        </w:rPr>
        <w:t>城市</w:t>
      </w:r>
      <w:r>
        <w:rPr>
          <w:rFonts w:hint="default" w:cs="Times New Roman"/>
          <w:lang w:val="en-US" w:eastAsia="zh-CN"/>
        </w:rPr>
        <w:t>污水处理厂处理</w:t>
      </w:r>
      <w:r>
        <w:rPr>
          <w:rFonts w:hint="eastAsia" w:cs="Times New Roman"/>
          <w:lang w:val="en-US" w:eastAsia="zh-CN"/>
        </w:rPr>
        <w:t>。</w:t>
      </w:r>
    </w:p>
    <w:p>
      <w:pPr>
        <w:keepNext w:val="0"/>
        <w:keepLines w:val="0"/>
        <w:widowControl/>
        <w:suppressLineNumbers w:val="0"/>
        <w:jc w:val="left"/>
        <w:rPr>
          <w:rFonts w:hint="eastAsia" w:ascii="宋体" w:hAnsi="宋体" w:eastAsia="宋体" w:cs="宋体"/>
          <w:color w:val="000000"/>
          <w:kern w:val="0"/>
          <w:sz w:val="24"/>
          <w:szCs w:val="24"/>
          <w:lang w:val="zh-CN" w:eastAsia="zh-CN" w:bidi="ar"/>
        </w:rPr>
      </w:pPr>
      <w:r>
        <w:rPr>
          <w:rFonts w:hint="default" w:ascii="宋体" w:hAnsi="宋体" w:eastAsia="宋体" w:cs="宋体"/>
          <w:color w:val="000000"/>
          <w:kern w:val="0"/>
          <w:sz w:val="24"/>
          <w:szCs w:val="24"/>
          <w:lang w:val="en-US" w:eastAsia="zh-CN" w:bidi="ar"/>
        </w:rPr>
        <w:t>公司固体废物主要为一般</w:t>
      </w:r>
      <w:r>
        <w:rPr>
          <w:rFonts w:hint="eastAsia" w:ascii="宋体" w:hAnsi="宋体" w:eastAsia="宋体" w:cs="宋体"/>
          <w:color w:val="000000"/>
          <w:kern w:val="0"/>
          <w:sz w:val="24"/>
          <w:szCs w:val="24"/>
          <w:lang w:val="en-US" w:eastAsia="zh-CN" w:bidi="ar"/>
        </w:rPr>
        <w:t>废弃物</w:t>
      </w:r>
      <w:r>
        <w:rPr>
          <w:rFonts w:hint="default" w:ascii="宋体" w:hAnsi="宋体" w:eastAsia="宋体" w:cs="宋体"/>
          <w:color w:val="000000"/>
          <w:kern w:val="0"/>
          <w:sz w:val="24"/>
          <w:szCs w:val="24"/>
          <w:lang w:val="en-US" w:eastAsia="zh-CN" w:bidi="ar"/>
        </w:rPr>
        <w:t>与</w:t>
      </w:r>
      <w:r>
        <w:rPr>
          <w:rFonts w:hint="eastAsia" w:ascii="宋体" w:hAnsi="宋体" w:eastAsia="宋体" w:cs="宋体"/>
          <w:color w:val="000000"/>
          <w:kern w:val="0"/>
          <w:sz w:val="24"/>
          <w:szCs w:val="24"/>
          <w:lang w:val="en-US" w:eastAsia="zh-CN" w:bidi="ar"/>
        </w:rPr>
        <w:t>危险废弃物。公司</w:t>
      </w:r>
      <w:r>
        <w:rPr>
          <w:rFonts w:hint="default" w:ascii="宋体" w:hAnsi="宋体" w:eastAsia="宋体" w:cs="宋体"/>
          <w:color w:val="000000"/>
          <w:kern w:val="0"/>
          <w:sz w:val="24"/>
          <w:szCs w:val="24"/>
          <w:lang w:val="en-US" w:eastAsia="zh-CN" w:bidi="ar"/>
        </w:rPr>
        <w:t>一般</w:t>
      </w:r>
      <w:r>
        <w:rPr>
          <w:rFonts w:hint="eastAsia" w:ascii="宋体" w:hAnsi="宋体" w:eastAsia="宋体" w:cs="宋体"/>
          <w:color w:val="000000"/>
          <w:kern w:val="0"/>
          <w:sz w:val="24"/>
          <w:szCs w:val="24"/>
          <w:lang w:val="en-US" w:eastAsia="zh-CN" w:bidi="ar"/>
        </w:rPr>
        <w:t>废弃物</w:t>
      </w:r>
      <w:r>
        <w:rPr>
          <w:rFonts w:hint="default" w:ascii="宋体" w:hAnsi="宋体" w:eastAsia="宋体" w:cs="宋体"/>
          <w:color w:val="000000"/>
          <w:kern w:val="0"/>
          <w:sz w:val="24"/>
          <w:szCs w:val="24"/>
          <w:lang w:val="en-US" w:eastAsia="zh-CN" w:bidi="ar"/>
        </w:rPr>
        <w:t>包括：生产过程产生的</w:t>
      </w:r>
      <w:r>
        <w:rPr>
          <w:rFonts w:hint="eastAsia" w:ascii="宋体" w:hAnsi="宋体" w:eastAsia="宋体" w:cs="宋体"/>
          <w:color w:val="000000"/>
          <w:kern w:val="0"/>
          <w:sz w:val="24"/>
          <w:szCs w:val="24"/>
          <w:lang w:val="en-US" w:eastAsia="zh-CN" w:bidi="ar"/>
        </w:rPr>
        <w:t>废胶料、胶粉、胶囊、</w:t>
      </w:r>
      <w:r>
        <w:rPr>
          <w:rFonts w:hint="default" w:ascii="宋体" w:hAnsi="宋体" w:eastAsia="宋体" w:cs="宋体"/>
          <w:color w:val="000000"/>
          <w:kern w:val="0"/>
          <w:sz w:val="24"/>
          <w:szCs w:val="24"/>
          <w:lang w:val="zh-CN" w:eastAsia="zh-CN" w:bidi="ar"/>
        </w:rPr>
        <w:t>废</w:t>
      </w:r>
      <w:r>
        <w:rPr>
          <w:rFonts w:hint="eastAsia" w:ascii="宋体" w:hAnsi="宋体" w:eastAsia="宋体" w:cs="宋体"/>
          <w:color w:val="000000"/>
          <w:kern w:val="0"/>
          <w:sz w:val="24"/>
          <w:szCs w:val="24"/>
          <w:lang w:val="zh-CN" w:eastAsia="zh-CN" w:bidi="ar"/>
        </w:rPr>
        <w:t>轮胎</w:t>
      </w:r>
      <w:r>
        <w:rPr>
          <w:rFonts w:hint="default" w:ascii="宋体" w:hAnsi="宋体" w:eastAsia="宋体" w:cs="宋体"/>
          <w:color w:val="000000"/>
          <w:kern w:val="0"/>
          <w:sz w:val="24"/>
          <w:szCs w:val="24"/>
          <w:lang w:val="zh-CN" w:eastAsia="zh-CN" w:bidi="ar"/>
        </w:rPr>
        <w:t>、</w:t>
      </w:r>
      <w:r>
        <w:rPr>
          <w:rFonts w:hint="eastAsia" w:ascii="宋体" w:hAnsi="宋体" w:eastAsia="宋体" w:cs="宋体"/>
          <w:color w:val="000000"/>
          <w:kern w:val="0"/>
          <w:sz w:val="24"/>
          <w:szCs w:val="24"/>
          <w:lang w:val="zh-CN" w:eastAsia="zh-CN" w:bidi="ar"/>
        </w:rPr>
        <w:t>废钢丝、废木箱以及生活垃圾等，</w:t>
      </w:r>
      <w:r>
        <w:rPr>
          <w:rFonts w:hint="eastAsia" w:ascii="宋体" w:hAnsi="宋体" w:eastAsia="宋体" w:cs="宋体"/>
          <w:color w:val="000000"/>
          <w:kern w:val="0"/>
          <w:sz w:val="24"/>
          <w:szCs w:val="24"/>
          <w:lang w:val="en-US" w:eastAsia="zh-CN" w:bidi="ar"/>
        </w:rPr>
        <w:t>公司设置了一般固体废物库，废物库采取了防风、防晒、防雨、防渗措施，并且设置了规范化标志牌，满足《一般工业固体废物贮存、处置场污染控制标准》（GB18599-2001）及2013年修改单要求。</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zh-CN" w:eastAsia="zh-CN" w:bidi="ar"/>
        </w:rPr>
        <w:t>公司危险废弃物</w:t>
      </w:r>
      <w:r>
        <w:rPr>
          <w:rFonts w:hint="default" w:ascii="宋体" w:hAnsi="宋体" w:eastAsia="宋体" w:cs="宋体"/>
          <w:color w:val="000000"/>
          <w:kern w:val="0"/>
          <w:sz w:val="24"/>
          <w:szCs w:val="24"/>
          <w:lang w:val="zh-CN" w:eastAsia="zh-CN" w:bidi="ar"/>
        </w:rPr>
        <w:t>包括：</w:t>
      </w:r>
      <w:r>
        <w:rPr>
          <w:rFonts w:hint="eastAsia" w:ascii="宋体" w:hAnsi="宋体" w:eastAsia="宋体" w:cs="宋体"/>
          <w:color w:val="000000"/>
          <w:kern w:val="0"/>
          <w:sz w:val="24"/>
          <w:szCs w:val="24"/>
          <w:lang w:val="zh-CN" w:eastAsia="zh-CN" w:bidi="ar"/>
        </w:rPr>
        <w:t>废水处理站污泥、</w:t>
      </w:r>
      <w:r>
        <w:rPr>
          <w:rFonts w:hint="default" w:ascii="宋体" w:hAnsi="宋体" w:eastAsia="宋体" w:cs="宋体"/>
          <w:color w:val="000000"/>
          <w:kern w:val="0"/>
          <w:sz w:val="24"/>
          <w:szCs w:val="24"/>
          <w:lang w:val="zh-CN" w:eastAsia="zh-CN" w:bidi="ar"/>
        </w:rPr>
        <w:t>废油、</w:t>
      </w:r>
      <w:r>
        <w:rPr>
          <w:rFonts w:hint="eastAsia" w:ascii="宋体" w:hAnsi="宋体" w:eastAsia="宋体" w:cs="宋体"/>
          <w:color w:val="000000"/>
          <w:kern w:val="0"/>
          <w:sz w:val="24"/>
          <w:szCs w:val="24"/>
          <w:lang w:val="zh-CN" w:eastAsia="zh-CN" w:bidi="ar"/>
        </w:rPr>
        <w:t>废化工粉料、除尘器废滤袋、硫化喷涂污染物、废硫磺袋、废石英砂、废灯管及油渍沾染物，</w:t>
      </w:r>
      <w:r>
        <w:rPr>
          <w:rFonts w:hint="eastAsia" w:ascii="宋体" w:hAnsi="宋体" w:eastAsia="宋体" w:cs="宋体"/>
          <w:color w:val="000000"/>
          <w:kern w:val="0"/>
          <w:sz w:val="24"/>
          <w:szCs w:val="24"/>
          <w:lang w:val="en-US" w:eastAsia="zh-CN" w:bidi="ar"/>
        </w:rPr>
        <w:t>公司委托有资质的危废处理厂家天津滨海合佳威立雅环境服务</w:t>
      </w:r>
      <w:r>
        <w:rPr>
          <w:rFonts w:hint="default" w:ascii="宋体" w:hAnsi="宋体" w:eastAsia="宋体" w:cs="宋体"/>
          <w:color w:val="000000"/>
          <w:kern w:val="0"/>
          <w:sz w:val="24"/>
          <w:szCs w:val="24"/>
          <w:lang w:val="en-US" w:eastAsia="zh-CN" w:bidi="ar"/>
        </w:rPr>
        <w:t>有限公司</w:t>
      </w:r>
      <w:r>
        <w:rPr>
          <w:rFonts w:hint="eastAsia" w:ascii="宋体" w:hAnsi="宋体" w:eastAsia="宋体" w:cs="宋体"/>
          <w:color w:val="000000"/>
          <w:kern w:val="0"/>
          <w:sz w:val="24"/>
          <w:szCs w:val="24"/>
          <w:lang w:val="en-US" w:eastAsia="zh-CN" w:bidi="ar"/>
        </w:rPr>
        <w:t>回收</w:t>
      </w:r>
      <w:r>
        <w:rPr>
          <w:rFonts w:hint="default" w:ascii="宋体" w:hAnsi="宋体" w:eastAsia="宋体" w:cs="宋体"/>
          <w:color w:val="000000"/>
          <w:kern w:val="0"/>
          <w:sz w:val="24"/>
          <w:szCs w:val="24"/>
          <w:lang w:val="zh-CN" w:eastAsia="zh-CN" w:bidi="ar"/>
        </w:rPr>
        <w:t>处理</w:t>
      </w:r>
      <w:r>
        <w:rPr>
          <w:rFonts w:hint="eastAsia" w:ascii="宋体" w:hAnsi="宋体" w:eastAsia="宋体" w:cs="宋体"/>
          <w:color w:val="000000"/>
          <w:kern w:val="0"/>
          <w:sz w:val="24"/>
          <w:szCs w:val="24"/>
          <w:lang w:val="zh-CN" w:eastAsia="zh-CN" w:bidi="ar"/>
        </w:rPr>
        <w:t>。</w:t>
      </w:r>
    </w:p>
    <w:p>
      <w:pPr>
        <w:keepNext w:val="0"/>
        <w:keepLines w:val="0"/>
        <w:widowControl/>
        <w:suppressLineNumbers w:val="0"/>
        <w:ind w:left="0" w:leftChars="0" w:firstLine="0" w:firstLineChars="0"/>
        <w:jc w:val="left"/>
      </w:pPr>
    </w:p>
    <w:p>
      <w:pPr>
        <w:pStyle w:val="3"/>
        <w:spacing w:before="0" w:after="0" w:line="360" w:lineRule="auto"/>
        <w:ind w:firstLine="0" w:firstLineChars="0"/>
        <w:rPr>
          <w:rFonts w:hint="eastAsia" w:eastAsiaTheme="minorEastAsia"/>
          <w:sz w:val="28"/>
          <w:szCs w:val="28"/>
          <w:lang w:eastAsia="zh-CN"/>
        </w:rPr>
      </w:pPr>
      <w:bookmarkStart w:id="6" w:name="_Toc11825"/>
      <w:r>
        <w:rPr>
          <w:rFonts w:hint="eastAsia"/>
          <w:sz w:val="28"/>
          <w:szCs w:val="28"/>
        </w:rPr>
        <w:t xml:space="preserve">第六章 </w:t>
      </w:r>
      <w:r>
        <w:rPr>
          <w:rFonts w:hint="eastAsia"/>
          <w:sz w:val="28"/>
          <w:szCs w:val="28"/>
          <w:lang w:eastAsia="zh-CN"/>
        </w:rPr>
        <w:t>企业所获荣誉（节选）</w:t>
      </w:r>
      <w:bookmarkEnd w:id="6"/>
    </w:p>
    <w:p>
      <w:pPr>
        <w:spacing w:before="120" w:after="120"/>
        <w:ind w:left="0" w:leftChars="0" w:firstLine="0" w:firstLineChars="0"/>
        <w:rPr>
          <w:rFonts w:hint="eastAsia" w:cs="Times New Roman"/>
          <w:b/>
          <w:bCs/>
          <w:lang w:eastAsia="zh-CN"/>
        </w:rPr>
      </w:pPr>
      <w:r>
        <w:rPr>
          <w:rFonts w:hint="eastAsia" w:cs="Times New Roman"/>
          <w:b/>
          <w:bCs/>
          <w:lang w:eastAsia="zh-CN"/>
        </w:rPr>
        <w:t>获得荣誉：</w:t>
      </w:r>
    </w:p>
    <w:p>
      <w:pPr>
        <w:spacing w:before="120" w:after="120"/>
        <w:ind w:firstLine="480"/>
        <w:rPr>
          <w:rFonts w:hint="eastAsia" w:cs="Times New Roman"/>
          <w:lang w:val="en-US" w:eastAsia="zh-CN"/>
        </w:rPr>
      </w:pPr>
      <w:r>
        <w:rPr>
          <w:rFonts w:hint="eastAsia" w:cs="Times New Roman"/>
          <w:lang w:val="en-US" w:eastAsia="zh-CN"/>
        </w:rPr>
        <w:t>（1）连续获得环境保护工作优秀单位称号；</w:t>
      </w:r>
    </w:p>
    <w:p>
      <w:pPr>
        <w:spacing w:before="120" w:after="120"/>
        <w:ind w:firstLine="480"/>
        <w:rPr>
          <w:rFonts w:hint="default" w:cs="Times New Roman"/>
          <w:lang w:val="en-US" w:eastAsia="zh-CN"/>
        </w:rPr>
      </w:pPr>
      <w:r>
        <w:rPr>
          <w:rFonts w:hint="eastAsia" w:cs="Times New Roman"/>
          <w:lang w:val="en-US" w:eastAsia="zh-CN"/>
        </w:rPr>
        <w:t>（2）2010年，获得环境社会责任贡献企业称号；</w:t>
      </w:r>
    </w:p>
    <w:p>
      <w:pPr>
        <w:spacing w:before="120" w:after="120"/>
        <w:ind w:firstLine="480"/>
        <w:rPr>
          <w:rFonts w:hint="eastAsia" w:cs="Times New Roman"/>
          <w:lang w:val="en-US" w:eastAsia="zh-CN"/>
        </w:rPr>
      </w:pPr>
      <w:r>
        <w:rPr>
          <w:rFonts w:hint="eastAsia" w:cs="Times New Roman"/>
          <w:lang w:val="en-US" w:eastAsia="zh-CN"/>
        </w:rPr>
        <w:t>（3）2012年度，获得天津市出口五十强企业；</w:t>
      </w:r>
    </w:p>
    <w:p>
      <w:pPr>
        <w:spacing w:before="120" w:after="120"/>
        <w:ind w:firstLine="480"/>
        <w:rPr>
          <w:rFonts w:hint="eastAsia" w:cs="Times New Roman"/>
          <w:lang w:val="en-US" w:eastAsia="zh-CN"/>
        </w:rPr>
      </w:pPr>
      <w:r>
        <w:rPr>
          <w:rFonts w:hint="eastAsia" w:cs="Times New Roman"/>
          <w:lang w:val="en-US" w:eastAsia="zh-CN"/>
        </w:rPr>
        <w:t>（4）2016年度天津开发区百强企业；</w:t>
      </w:r>
    </w:p>
    <w:p>
      <w:pPr>
        <w:spacing w:before="120" w:after="120"/>
        <w:ind w:firstLine="480"/>
        <w:rPr>
          <w:rFonts w:hint="eastAsia" w:cs="Times New Roman"/>
          <w:lang w:val="en-US" w:eastAsia="zh-CN"/>
        </w:rPr>
      </w:pPr>
      <w:r>
        <w:rPr>
          <w:rFonts w:hint="eastAsia" w:cs="Times New Roman"/>
          <w:lang w:val="en-US" w:eastAsia="zh-CN"/>
        </w:rPr>
        <w:t>（5）天津经济技术开发区2019年度百强企业名单获奖证书。</w:t>
      </w:r>
    </w:p>
    <w:p>
      <w:pPr>
        <w:spacing w:before="120" w:after="120"/>
        <w:ind w:firstLine="480"/>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7338343"/>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12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57338343"/>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12</w:t>
                        </w:r>
                        <w:r>
                          <w:fldChar w:fldCharType="end"/>
                        </w:r>
                      </w:p>
                    </w:sdtContent>
                  </w:sd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rFonts w:hint="eastAsia"/>
      </w:rPr>
      <w:t>20</w:t>
    </w:r>
    <w:r>
      <w:rPr>
        <w:rFonts w:hint="eastAsia"/>
        <w:lang w:val="en-US" w:eastAsia="zh-CN"/>
      </w:rPr>
      <w:t>20</w:t>
    </w:r>
    <w:r>
      <w:t>年度</w:t>
    </w:r>
    <w:r>
      <w:rPr>
        <w:rFonts w:hint="eastAsia"/>
        <w:lang w:eastAsia="zh-CN"/>
      </w:rPr>
      <w:t>锦湖轮胎（天津）有限公司</w:t>
    </w:r>
    <w:r>
      <w:t>社会责任报告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931B2"/>
    <w:multiLevelType w:val="singleLevel"/>
    <w:tmpl w:val="0CB931B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7C"/>
    <w:rsid w:val="000849EA"/>
    <w:rsid w:val="000A1E26"/>
    <w:rsid w:val="000C0A08"/>
    <w:rsid w:val="000C7954"/>
    <w:rsid w:val="000F6F10"/>
    <w:rsid w:val="00160C4B"/>
    <w:rsid w:val="00166CFC"/>
    <w:rsid w:val="001859A2"/>
    <w:rsid w:val="00187A4F"/>
    <w:rsid w:val="00197DD1"/>
    <w:rsid w:val="001B77D8"/>
    <w:rsid w:val="002518EC"/>
    <w:rsid w:val="00257149"/>
    <w:rsid w:val="002631EC"/>
    <w:rsid w:val="0026648E"/>
    <w:rsid w:val="002704C2"/>
    <w:rsid w:val="002A298E"/>
    <w:rsid w:val="002A2D15"/>
    <w:rsid w:val="002B0218"/>
    <w:rsid w:val="002D12DB"/>
    <w:rsid w:val="002D2CAA"/>
    <w:rsid w:val="00347336"/>
    <w:rsid w:val="00367406"/>
    <w:rsid w:val="0036762D"/>
    <w:rsid w:val="003B0516"/>
    <w:rsid w:val="004166C8"/>
    <w:rsid w:val="00421487"/>
    <w:rsid w:val="004476DA"/>
    <w:rsid w:val="00492D85"/>
    <w:rsid w:val="004A1EBE"/>
    <w:rsid w:val="004A65C5"/>
    <w:rsid w:val="004B6234"/>
    <w:rsid w:val="00505051"/>
    <w:rsid w:val="005869E4"/>
    <w:rsid w:val="00595306"/>
    <w:rsid w:val="005B722B"/>
    <w:rsid w:val="005C52A5"/>
    <w:rsid w:val="0061412D"/>
    <w:rsid w:val="0062094D"/>
    <w:rsid w:val="00652084"/>
    <w:rsid w:val="0065581C"/>
    <w:rsid w:val="006661C7"/>
    <w:rsid w:val="006B12B9"/>
    <w:rsid w:val="006C03B3"/>
    <w:rsid w:val="006F6104"/>
    <w:rsid w:val="00701B7C"/>
    <w:rsid w:val="0074252E"/>
    <w:rsid w:val="0074420A"/>
    <w:rsid w:val="0075041F"/>
    <w:rsid w:val="0077549F"/>
    <w:rsid w:val="00792EA4"/>
    <w:rsid w:val="007B6C68"/>
    <w:rsid w:val="007D27CC"/>
    <w:rsid w:val="00852F13"/>
    <w:rsid w:val="00866A2C"/>
    <w:rsid w:val="00870D9E"/>
    <w:rsid w:val="00880577"/>
    <w:rsid w:val="00885666"/>
    <w:rsid w:val="008A7CD2"/>
    <w:rsid w:val="008C2980"/>
    <w:rsid w:val="008E4FBD"/>
    <w:rsid w:val="00920557"/>
    <w:rsid w:val="0096076C"/>
    <w:rsid w:val="009611D4"/>
    <w:rsid w:val="009849E9"/>
    <w:rsid w:val="009A2F0B"/>
    <w:rsid w:val="009D537C"/>
    <w:rsid w:val="00A22890"/>
    <w:rsid w:val="00A32B4E"/>
    <w:rsid w:val="00A739F3"/>
    <w:rsid w:val="00A80320"/>
    <w:rsid w:val="00A937F5"/>
    <w:rsid w:val="00AC2E42"/>
    <w:rsid w:val="00AD0867"/>
    <w:rsid w:val="00AD6C45"/>
    <w:rsid w:val="00B13165"/>
    <w:rsid w:val="00B16893"/>
    <w:rsid w:val="00B3577F"/>
    <w:rsid w:val="00B51890"/>
    <w:rsid w:val="00B65F1F"/>
    <w:rsid w:val="00B77A01"/>
    <w:rsid w:val="00BC4C64"/>
    <w:rsid w:val="00C05F8C"/>
    <w:rsid w:val="00C07A63"/>
    <w:rsid w:val="00C11E88"/>
    <w:rsid w:val="00C520B9"/>
    <w:rsid w:val="00C674F3"/>
    <w:rsid w:val="00CD1211"/>
    <w:rsid w:val="00CD7F70"/>
    <w:rsid w:val="00CE479E"/>
    <w:rsid w:val="00CF4C54"/>
    <w:rsid w:val="00CF5D80"/>
    <w:rsid w:val="00CF7132"/>
    <w:rsid w:val="00D04550"/>
    <w:rsid w:val="00D32652"/>
    <w:rsid w:val="00D50A12"/>
    <w:rsid w:val="00D52162"/>
    <w:rsid w:val="00D62B93"/>
    <w:rsid w:val="00D8673A"/>
    <w:rsid w:val="00D87586"/>
    <w:rsid w:val="00D93767"/>
    <w:rsid w:val="00E14779"/>
    <w:rsid w:val="00E213AA"/>
    <w:rsid w:val="00E75377"/>
    <w:rsid w:val="00E97619"/>
    <w:rsid w:val="00EB7C67"/>
    <w:rsid w:val="00EC11C8"/>
    <w:rsid w:val="00ED0FDB"/>
    <w:rsid w:val="00F26EDA"/>
    <w:rsid w:val="00F37891"/>
    <w:rsid w:val="00F40DB2"/>
    <w:rsid w:val="00F73B81"/>
    <w:rsid w:val="00F806F9"/>
    <w:rsid w:val="00F85CA8"/>
    <w:rsid w:val="00FF1BEE"/>
    <w:rsid w:val="00FF59FC"/>
    <w:rsid w:val="018D57AD"/>
    <w:rsid w:val="03173CC4"/>
    <w:rsid w:val="03F0312A"/>
    <w:rsid w:val="042D74D2"/>
    <w:rsid w:val="059F3331"/>
    <w:rsid w:val="074F7DBC"/>
    <w:rsid w:val="09304406"/>
    <w:rsid w:val="0A824131"/>
    <w:rsid w:val="0A913913"/>
    <w:rsid w:val="0ABB12FB"/>
    <w:rsid w:val="0B503DB8"/>
    <w:rsid w:val="0C311EED"/>
    <w:rsid w:val="0DC82AAD"/>
    <w:rsid w:val="0EB6416D"/>
    <w:rsid w:val="0F3B4564"/>
    <w:rsid w:val="0F92251E"/>
    <w:rsid w:val="133D6C15"/>
    <w:rsid w:val="138D660D"/>
    <w:rsid w:val="14C33C9C"/>
    <w:rsid w:val="15A90083"/>
    <w:rsid w:val="15D07AA2"/>
    <w:rsid w:val="1783596E"/>
    <w:rsid w:val="17DD22DE"/>
    <w:rsid w:val="18D04B2B"/>
    <w:rsid w:val="1A0E3B8B"/>
    <w:rsid w:val="1C6C23AD"/>
    <w:rsid w:val="1EF12010"/>
    <w:rsid w:val="1F5201D0"/>
    <w:rsid w:val="20A82239"/>
    <w:rsid w:val="21BE1C84"/>
    <w:rsid w:val="21DC1945"/>
    <w:rsid w:val="2271481B"/>
    <w:rsid w:val="227578BC"/>
    <w:rsid w:val="22844C34"/>
    <w:rsid w:val="22CD06C6"/>
    <w:rsid w:val="2373720C"/>
    <w:rsid w:val="247F7675"/>
    <w:rsid w:val="24922843"/>
    <w:rsid w:val="24CE699D"/>
    <w:rsid w:val="266D2788"/>
    <w:rsid w:val="270759CF"/>
    <w:rsid w:val="29A75F98"/>
    <w:rsid w:val="29C22AE2"/>
    <w:rsid w:val="2DE9252B"/>
    <w:rsid w:val="2E91316C"/>
    <w:rsid w:val="309353F7"/>
    <w:rsid w:val="30F61FB6"/>
    <w:rsid w:val="30FF136C"/>
    <w:rsid w:val="32D13779"/>
    <w:rsid w:val="361C7556"/>
    <w:rsid w:val="37634CB0"/>
    <w:rsid w:val="37EC60E1"/>
    <w:rsid w:val="385A4F5C"/>
    <w:rsid w:val="3AF0381C"/>
    <w:rsid w:val="3B530708"/>
    <w:rsid w:val="3BD07D28"/>
    <w:rsid w:val="3D824C8A"/>
    <w:rsid w:val="3E0757FF"/>
    <w:rsid w:val="3E3735BE"/>
    <w:rsid w:val="3EDD2472"/>
    <w:rsid w:val="3F4C5CF4"/>
    <w:rsid w:val="3FDF6052"/>
    <w:rsid w:val="41291927"/>
    <w:rsid w:val="4149789C"/>
    <w:rsid w:val="41E47420"/>
    <w:rsid w:val="41FF19E2"/>
    <w:rsid w:val="434D5B32"/>
    <w:rsid w:val="43C96BEE"/>
    <w:rsid w:val="445A1EF5"/>
    <w:rsid w:val="450D0E01"/>
    <w:rsid w:val="45273DCA"/>
    <w:rsid w:val="461676F4"/>
    <w:rsid w:val="48906230"/>
    <w:rsid w:val="492E53EE"/>
    <w:rsid w:val="49473845"/>
    <w:rsid w:val="4A471071"/>
    <w:rsid w:val="4A796E1C"/>
    <w:rsid w:val="4C81166B"/>
    <w:rsid w:val="4E4768D7"/>
    <w:rsid w:val="4E5C2DA1"/>
    <w:rsid w:val="4F367C73"/>
    <w:rsid w:val="4F8C77F5"/>
    <w:rsid w:val="50942D22"/>
    <w:rsid w:val="52345075"/>
    <w:rsid w:val="52565461"/>
    <w:rsid w:val="52630D66"/>
    <w:rsid w:val="52DD306A"/>
    <w:rsid w:val="54542C0C"/>
    <w:rsid w:val="55992D5C"/>
    <w:rsid w:val="568A3FCF"/>
    <w:rsid w:val="57312CFF"/>
    <w:rsid w:val="5803075C"/>
    <w:rsid w:val="59E407FA"/>
    <w:rsid w:val="5A3B1446"/>
    <w:rsid w:val="5AD329EA"/>
    <w:rsid w:val="5B79297F"/>
    <w:rsid w:val="5B8901CA"/>
    <w:rsid w:val="5D8C3507"/>
    <w:rsid w:val="60795533"/>
    <w:rsid w:val="62A24152"/>
    <w:rsid w:val="644F022D"/>
    <w:rsid w:val="66185CF6"/>
    <w:rsid w:val="697873C5"/>
    <w:rsid w:val="6ABF707F"/>
    <w:rsid w:val="6B840B25"/>
    <w:rsid w:val="6BDB12EB"/>
    <w:rsid w:val="6C041C57"/>
    <w:rsid w:val="6D3337C2"/>
    <w:rsid w:val="6DAA4C1C"/>
    <w:rsid w:val="715E4344"/>
    <w:rsid w:val="71EB70F6"/>
    <w:rsid w:val="7494345A"/>
    <w:rsid w:val="74F368FE"/>
    <w:rsid w:val="76336B9A"/>
    <w:rsid w:val="76FA686B"/>
    <w:rsid w:val="770A6AF1"/>
    <w:rsid w:val="7AFE0894"/>
    <w:rsid w:val="7B2D360F"/>
    <w:rsid w:val="7B7C7B3B"/>
    <w:rsid w:val="7B904DE3"/>
    <w:rsid w:val="7DBC1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2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caption"/>
    <w:basedOn w:val="1"/>
    <w:next w:val="1"/>
    <w:qFormat/>
    <w:uiPriority w:val="99"/>
    <w:pPr>
      <w:tabs>
        <w:tab w:val="center" w:pos="10467"/>
        <w:tab w:val="left" w:pos="13095"/>
      </w:tabs>
      <w:ind w:firstLine="0" w:firstLineChars="0"/>
      <w:jc w:val="center"/>
    </w:pPr>
    <w:rPr>
      <w:rFonts w:ascii="Arial" w:hAnsi="Arial" w:eastAsia="宋体" w:cs="黑体"/>
    </w:rPr>
  </w:style>
  <w:style w:type="paragraph" w:styleId="7">
    <w:name w:val="annotation text"/>
    <w:basedOn w:val="1"/>
    <w:link w:val="25"/>
    <w:semiHidden/>
    <w:unhideWhenUsed/>
    <w:qFormat/>
    <w:uiPriority w:val="99"/>
    <w:pPr>
      <w:jc w:val="left"/>
    </w:pPr>
  </w:style>
  <w:style w:type="paragraph" w:styleId="8">
    <w:name w:val="Body Text"/>
    <w:basedOn w:val="1"/>
    <w:qFormat/>
    <w:uiPriority w:val="1"/>
    <w:rPr>
      <w:rFonts w:ascii="宋体" w:hAnsi="宋体" w:eastAsia="宋体" w:cs="宋体"/>
      <w:sz w:val="24"/>
      <w:szCs w:val="24"/>
      <w:lang w:val="zh-CN" w:eastAsia="zh-CN" w:bidi="zh-CN"/>
    </w:rPr>
  </w:style>
  <w:style w:type="paragraph" w:styleId="9">
    <w:name w:val="Balloon Text"/>
    <w:basedOn w:val="1"/>
    <w:link w:val="27"/>
    <w:semiHidden/>
    <w:unhideWhenUsed/>
    <w:qFormat/>
    <w:uiPriority w:val="99"/>
    <w:pPr>
      <w:spacing w:line="240" w:lineRule="auto"/>
    </w:pPr>
    <w:rPr>
      <w:sz w:val="18"/>
      <w:szCs w:val="18"/>
    </w:rPr>
  </w:style>
  <w:style w:type="paragraph" w:styleId="10">
    <w:name w:val="footer"/>
    <w:basedOn w:val="1"/>
    <w:link w:val="24"/>
    <w:unhideWhenUsed/>
    <w:qFormat/>
    <w:uiPriority w:val="99"/>
    <w:pPr>
      <w:tabs>
        <w:tab w:val="center" w:pos="4153"/>
        <w:tab w:val="right" w:pos="8306"/>
      </w:tabs>
      <w:snapToGrid w:val="0"/>
      <w:spacing w:line="240" w:lineRule="auto"/>
      <w:jc w:val="left"/>
    </w:pPr>
    <w:rPr>
      <w:sz w:val="18"/>
      <w:szCs w:val="18"/>
    </w:rPr>
  </w:style>
  <w:style w:type="paragraph" w:styleId="11">
    <w:name w:val="toc 1"/>
    <w:basedOn w:val="1"/>
    <w:next w:val="1"/>
    <w:unhideWhenUsed/>
    <w:qFormat/>
    <w:uiPriority w:val="39"/>
  </w:style>
  <w:style w:type="paragraph" w:styleId="12">
    <w:name w:val="annotation subject"/>
    <w:basedOn w:val="7"/>
    <w:next w:val="7"/>
    <w:link w:val="26"/>
    <w:semiHidden/>
    <w:unhideWhenUsed/>
    <w:qFormat/>
    <w:uiPriority w:val="99"/>
    <w:rPr>
      <w:b/>
      <w:bCs/>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标题 1 Char"/>
    <w:basedOn w:val="14"/>
    <w:link w:val="3"/>
    <w:qFormat/>
    <w:uiPriority w:val="9"/>
    <w:rPr>
      <w:b/>
      <w:bCs/>
      <w:kern w:val="44"/>
      <w:sz w:val="44"/>
      <w:szCs w:val="44"/>
    </w:rPr>
  </w:style>
  <w:style w:type="paragraph" w:styleId="18">
    <w:name w:val="No Spacing"/>
    <w:link w:val="19"/>
    <w:qFormat/>
    <w:uiPriority w:val="1"/>
    <w:rPr>
      <w:rFonts w:asciiTheme="minorHAnsi" w:hAnsiTheme="minorHAnsi" w:eastAsiaTheme="minorEastAsia" w:cstheme="minorBidi"/>
      <w:kern w:val="0"/>
      <w:sz w:val="22"/>
      <w:szCs w:val="22"/>
      <w:lang w:val="en-US" w:eastAsia="zh-CN" w:bidi="ar-SA"/>
    </w:rPr>
  </w:style>
  <w:style w:type="character" w:customStyle="1" w:styleId="19">
    <w:name w:val="无间隔 Char"/>
    <w:basedOn w:val="14"/>
    <w:link w:val="18"/>
    <w:qFormat/>
    <w:uiPriority w:val="1"/>
    <w:rPr>
      <w:kern w:val="0"/>
      <w:sz w:val="22"/>
    </w:rPr>
  </w:style>
  <w:style w:type="character" w:customStyle="1" w:styleId="20">
    <w:name w:val="标题 3 Char"/>
    <w:basedOn w:val="14"/>
    <w:link w:val="4"/>
    <w:semiHidden/>
    <w:qFormat/>
    <w:uiPriority w:val="9"/>
    <w:rPr>
      <w:rFonts w:ascii="Times New Roman" w:hAnsi="Times New Roman"/>
      <w:b/>
      <w:bCs/>
      <w:sz w:val="32"/>
      <w:szCs w:val="32"/>
    </w:rPr>
  </w:style>
  <w:style w:type="character" w:customStyle="1" w:styleId="21">
    <w:name w:val="标题 4 Char"/>
    <w:basedOn w:val="14"/>
    <w:link w:val="5"/>
    <w:semiHidden/>
    <w:qFormat/>
    <w:uiPriority w:val="9"/>
    <w:rPr>
      <w:rFonts w:asciiTheme="majorHAnsi" w:hAnsiTheme="majorHAnsi" w:eastAsiaTheme="majorEastAsia" w:cstheme="majorBidi"/>
      <w:b/>
      <w:bCs/>
      <w:sz w:val="28"/>
      <w:szCs w:val="28"/>
    </w:rPr>
  </w:style>
  <w:style w:type="paragraph" w:customStyle="1" w:styleId="22">
    <w:name w:val="TOC Heading"/>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页眉 Char"/>
    <w:basedOn w:val="14"/>
    <w:link w:val="2"/>
    <w:qFormat/>
    <w:uiPriority w:val="99"/>
    <w:rPr>
      <w:rFonts w:ascii="Times New Roman" w:hAnsi="Times New Roman"/>
      <w:sz w:val="18"/>
      <w:szCs w:val="18"/>
    </w:rPr>
  </w:style>
  <w:style w:type="character" w:customStyle="1" w:styleId="24">
    <w:name w:val="页脚 Char"/>
    <w:basedOn w:val="14"/>
    <w:link w:val="10"/>
    <w:qFormat/>
    <w:uiPriority w:val="99"/>
    <w:rPr>
      <w:rFonts w:ascii="Times New Roman" w:hAnsi="Times New Roman"/>
      <w:sz w:val="18"/>
      <w:szCs w:val="18"/>
    </w:rPr>
  </w:style>
  <w:style w:type="character" w:customStyle="1" w:styleId="25">
    <w:name w:val="批注文字 Char"/>
    <w:basedOn w:val="14"/>
    <w:link w:val="7"/>
    <w:semiHidden/>
    <w:qFormat/>
    <w:uiPriority w:val="99"/>
    <w:rPr>
      <w:rFonts w:ascii="Times New Roman" w:hAnsi="Times New Roman"/>
      <w:sz w:val="24"/>
    </w:rPr>
  </w:style>
  <w:style w:type="character" w:customStyle="1" w:styleId="26">
    <w:name w:val="批注主题 Char"/>
    <w:basedOn w:val="25"/>
    <w:link w:val="12"/>
    <w:semiHidden/>
    <w:qFormat/>
    <w:uiPriority w:val="99"/>
    <w:rPr>
      <w:rFonts w:ascii="Times New Roman" w:hAnsi="Times New Roman"/>
      <w:b/>
      <w:bCs/>
      <w:sz w:val="24"/>
    </w:rPr>
  </w:style>
  <w:style w:type="character" w:customStyle="1" w:styleId="27">
    <w:name w:val="批注框文本 Char"/>
    <w:basedOn w:val="14"/>
    <w:link w:val="9"/>
    <w:semiHidden/>
    <w:qFormat/>
    <w:uiPriority w:val="99"/>
    <w:rPr>
      <w:rFonts w:ascii="Times New Roman" w:hAnsi="Times New Roman"/>
      <w:sz w:val="18"/>
      <w:szCs w:val="18"/>
    </w:rPr>
  </w:style>
  <w:style w:type="paragraph" w:customStyle="1" w:styleId="28">
    <w:name w:val="列出段落2"/>
    <w:basedOn w:val="1"/>
    <w:qFormat/>
    <w:uiPriority w:val="99"/>
    <w:pPr>
      <w:ind w:firstLine="420"/>
    </w:pPr>
    <w:rPr>
      <w:rFonts w:ascii="Calibri" w:hAnsi="Calibri" w:eastAsia="仿宋" w:cs="黑体"/>
    </w:rPr>
  </w:style>
  <w:style w:type="paragraph" w:customStyle="1" w:styleId="29">
    <w:name w:val="审核报告正文小四"/>
    <w:basedOn w:val="1"/>
    <w:link w:val="30"/>
    <w:qFormat/>
    <w:uiPriority w:val="0"/>
    <w:pPr>
      <w:spacing w:before="50" w:beforeLines="50" w:after="50" w:afterLines="50" w:line="440" w:lineRule="exact"/>
    </w:pPr>
    <w:rPr>
      <w:rFonts w:eastAsia="宋体" w:cs="Times New Roman"/>
      <w:szCs w:val="24"/>
    </w:rPr>
  </w:style>
  <w:style w:type="character" w:customStyle="1" w:styleId="30">
    <w:name w:val="审核报告正文小四 Char"/>
    <w:link w:val="29"/>
    <w:qFormat/>
    <w:uiPriority w:val="0"/>
    <w:rPr>
      <w:rFonts w:ascii="Times New Roman" w:hAnsi="Times New Roman" w:eastAsia="宋体" w:cs="Times New Roman"/>
      <w:sz w:val="24"/>
      <w:szCs w:val="24"/>
    </w:rPr>
  </w:style>
  <w:style w:type="paragraph" w:styleId="31">
    <w:name w:val="List Paragraph"/>
    <w:basedOn w:val="1"/>
    <w:qFormat/>
    <w:uiPriority w:val="34"/>
    <w:pPr>
      <w:widowControl/>
      <w:spacing w:line="240" w:lineRule="auto"/>
      <w:ind w:firstLine="420"/>
      <w:jc w:val="left"/>
    </w:pPr>
    <w:rPr>
      <w:rFonts w:ascii="宋体" w:hAnsi="宋体" w:eastAsia="宋体"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ADFF5-1AB8-4894-8D34-E0BCF8D8F872}">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1412</Words>
  <Characters>8049</Characters>
  <Lines>67</Lines>
  <Paragraphs>18</Paragraphs>
  <TotalTime>163</TotalTime>
  <ScaleCrop>false</ScaleCrop>
  <LinksUpToDate>false</LinksUpToDate>
  <CharactersWithSpaces>9443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2018-08-20T05:59:00Z</dcterms:created>
  <dc:creator>广东省深圳市</dc:creator>
  <cp:lastModifiedBy>allanlsj</cp:lastModifiedBy>
  <cp:lastPrinted>2021-06-29T06:37:21Z</cp:lastPrinted>
  <dcterms:modified xsi:type="dcterms:W3CDTF">2021-06-29T08:45:49Z</dcterms:modified>
  <dc:subject>*****公司社会责任报告</dc:subject>
  <dc:title>2019年度</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3C9D389B7D5A4D65B55C71815260D50D</vt:lpwstr>
  </property>
</Properties>
</file>